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536" w:type="dxa"/>
        <w:tblCellMar>
          <w:left w:w="0" w:type="dxa"/>
          <w:right w:w="0" w:type="dxa"/>
        </w:tblCellMar>
        <w:tblLook w:val="04A0" w:firstRow="1" w:lastRow="0" w:firstColumn="1" w:lastColumn="0" w:noHBand="0" w:noVBand="1"/>
        <w:tblDescription w:val="Header layout table"/>
      </w:tblPr>
      <w:tblGrid>
        <w:gridCol w:w="2475"/>
        <w:gridCol w:w="5535"/>
        <w:gridCol w:w="3330"/>
        <w:gridCol w:w="196"/>
      </w:tblGrid>
      <w:tr w:rsidR="00356BB9" w:rsidRPr="00B90FED" w14:paraId="016C2D27" w14:textId="77777777" w:rsidTr="56EA4039">
        <w:trPr>
          <w:trHeight w:val="1617"/>
        </w:trPr>
        <w:tc>
          <w:tcPr>
            <w:tcW w:w="2475" w:type="dxa"/>
            <w:shd w:val="clear" w:color="auto" w:fill="006666" w:themeFill="accent3"/>
          </w:tcPr>
          <w:p w14:paraId="54884B44" w14:textId="77777777" w:rsidR="00356BB9" w:rsidRPr="00356BB9" w:rsidRDefault="00356BB9" w:rsidP="00356BB9"/>
        </w:tc>
        <w:tc>
          <w:tcPr>
            <w:tcW w:w="5535" w:type="dxa"/>
            <w:tcBorders>
              <w:right w:val="single" w:sz="36" w:space="0" w:color="FFFFFF" w:themeColor="background1"/>
            </w:tcBorders>
            <w:shd w:val="clear" w:color="auto" w:fill="006666" w:themeFill="accent3"/>
            <w:vAlign w:val="center"/>
          </w:tcPr>
          <w:p w14:paraId="4FCCCB6D" w14:textId="7DFA4840" w:rsidR="00356BB9" w:rsidRPr="001476D0" w:rsidRDefault="47FCB079" w:rsidP="47FCB079">
            <w:pPr>
              <w:pStyle w:val="ContactInfo"/>
              <w:spacing w:line="259" w:lineRule="auto"/>
              <w:rPr>
                <w:bCs/>
                <w:color w:val="FFC000"/>
                <w:sz w:val="48"/>
                <w:szCs w:val="48"/>
              </w:rPr>
            </w:pPr>
            <w:r w:rsidRPr="001476D0">
              <w:rPr>
                <w:color w:val="FFC000"/>
                <w:sz w:val="48"/>
                <w:szCs w:val="48"/>
              </w:rPr>
              <w:t>TransparentCalifornia.com</w:t>
            </w:r>
          </w:p>
        </w:tc>
        <w:tc>
          <w:tcPr>
            <w:tcW w:w="3330" w:type="dxa"/>
            <w:tcBorders>
              <w:left w:val="single" w:sz="36" w:space="0" w:color="FFFFFF" w:themeColor="background1"/>
            </w:tcBorders>
            <w:shd w:val="clear" w:color="auto" w:fill="006666" w:themeFill="accent3"/>
            <w:vAlign w:val="center"/>
          </w:tcPr>
          <w:p w14:paraId="7EA4ECEF" w14:textId="340C8EDB" w:rsidR="00356BB9" w:rsidRPr="00356BB9" w:rsidRDefault="47FCB079" w:rsidP="47FCB079">
            <w:pPr>
              <w:pStyle w:val="Graphic"/>
            </w:pPr>
            <w:r>
              <w:drawing>
                <wp:inline distT="0" distB="0" distL="0" distR="0" wp14:anchorId="50DEFEFA" wp14:editId="47FCB079">
                  <wp:extent cx="1865506" cy="1047750"/>
                  <wp:effectExtent l="0" t="0" r="0" b="0"/>
                  <wp:docPr id="1130970756" name="Picture 113097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865506" cy="1047750"/>
                          </a:xfrm>
                          <a:prstGeom prst="rect">
                            <a:avLst/>
                          </a:prstGeom>
                        </pic:spPr>
                      </pic:pic>
                    </a:graphicData>
                  </a:graphic>
                </wp:inline>
              </w:drawing>
            </w:r>
          </w:p>
        </w:tc>
        <w:tc>
          <w:tcPr>
            <w:tcW w:w="180" w:type="dxa"/>
            <w:shd w:val="clear" w:color="auto" w:fill="006666" w:themeFill="accent3"/>
          </w:tcPr>
          <w:p w14:paraId="182292F3" w14:textId="77777777" w:rsidR="00356BB9" w:rsidRPr="00B90FED" w:rsidRDefault="00356BB9" w:rsidP="001A58E9">
            <w:pPr>
              <w:pStyle w:val="Graphic"/>
              <w:rPr>
                <w:color w:val="006666" w:themeColor="accent3"/>
              </w:rPr>
            </w:pPr>
          </w:p>
        </w:tc>
      </w:tr>
      <w:tr w:rsidR="001A58E9" w14:paraId="6C75B8B8" w14:textId="77777777" w:rsidTr="56EA4039">
        <w:trPr>
          <w:trHeight w:val="1167"/>
        </w:trPr>
        <w:tc>
          <w:tcPr>
            <w:tcW w:w="11536" w:type="dxa"/>
            <w:gridSpan w:val="4"/>
            <w:vAlign w:val="bottom"/>
          </w:tcPr>
          <w:p w14:paraId="7A87DE0D" w14:textId="066A7F15" w:rsidR="001A58E9" w:rsidRDefault="47FCB079" w:rsidP="47FCB079">
            <w:pPr>
              <w:pStyle w:val="Title"/>
              <w:rPr>
                <w:sz w:val="44"/>
                <w:szCs w:val="44"/>
              </w:rPr>
            </w:pPr>
            <w:r w:rsidRPr="47FCB079">
              <w:rPr>
                <w:sz w:val="44"/>
                <w:szCs w:val="44"/>
              </w:rPr>
              <w:t>A CALIFORNIAN’s guide to public records request</w:t>
            </w:r>
            <w:r w:rsidR="001476D0">
              <w:rPr>
                <w:sz w:val="44"/>
                <w:szCs w:val="44"/>
              </w:rPr>
              <w:t>s</w:t>
            </w:r>
          </w:p>
          <w:tbl>
            <w:tblPr>
              <w:tblW w:w="0" w:type="auto"/>
              <w:tblLook w:val="04A0" w:firstRow="1" w:lastRow="0" w:firstColumn="1" w:lastColumn="0" w:noHBand="0" w:noVBand="1"/>
              <w:tblDescription w:val="Header layout table"/>
            </w:tblPr>
            <w:tblGrid>
              <w:gridCol w:w="11536"/>
            </w:tblGrid>
            <w:tr w:rsidR="47FCB079" w14:paraId="59A8FFA3" w14:textId="77777777" w:rsidTr="6D204E45">
              <w:trPr>
                <w:trHeight w:val="864"/>
              </w:trPr>
              <w:tc>
                <w:tcPr>
                  <w:tcW w:w="11536" w:type="dxa"/>
                  <w:tcBorders>
                    <w:bottom w:val="single" w:sz="18" w:space="0" w:color="FEDE00" w:themeColor="accent2"/>
                  </w:tcBorders>
                  <w:vAlign w:val="bottom"/>
                </w:tcPr>
                <w:p w14:paraId="29EDB629" w14:textId="2EAB8DC5" w:rsidR="47FCB079" w:rsidRDefault="47FCB079" w:rsidP="47FCB079">
                  <w:pPr>
                    <w:pStyle w:val="Heading1"/>
                    <w:spacing w:line="259" w:lineRule="auto"/>
                    <w:rPr>
                      <w:rFonts w:ascii="Franklin Gothic Medium" w:hAnsi="Franklin Gothic Medium"/>
                      <w:bCs/>
                      <w:szCs w:val="24"/>
                    </w:rPr>
                  </w:pPr>
                  <w:r>
                    <w:t>Introduction</w:t>
                  </w:r>
                </w:p>
              </w:tc>
            </w:tr>
            <w:tr w:rsidR="47FCB079" w14:paraId="653C07E8" w14:textId="77777777" w:rsidTr="6D204E45">
              <w:trPr>
                <w:trHeight w:val="300"/>
              </w:trPr>
              <w:tc>
                <w:tcPr>
                  <w:tcW w:w="11536" w:type="dxa"/>
                  <w:tcBorders>
                    <w:top w:val="single" w:sz="18" w:space="0" w:color="FEDE00" w:themeColor="accent2"/>
                  </w:tcBorders>
                </w:tcPr>
                <w:p w14:paraId="42C5437D" w14:textId="61873515" w:rsidR="47FCB079" w:rsidRDefault="47FCB079" w:rsidP="47FCB079">
                  <w:pPr>
                    <w:rPr>
                      <w:sz w:val="22"/>
                      <w:szCs w:val="22"/>
                    </w:rPr>
                  </w:pPr>
                </w:p>
                <w:p w14:paraId="7781A6F3" w14:textId="3DE0F3E4" w:rsidR="47FCB079" w:rsidRDefault="07D905F0" w:rsidP="6D204E45">
                  <w:pPr>
                    <w:rPr>
                      <w:sz w:val="22"/>
                      <w:szCs w:val="22"/>
                    </w:rPr>
                  </w:pPr>
                  <w:r w:rsidRPr="6D204E45">
                    <w:rPr>
                      <w:sz w:val="22"/>
                      <w:szCs w:val="22"/>
                    </w:rPr>
                    <w:t xml:space="preserve">California has a dysfunctional government. But that dysfunction doesn’t need to be a barrier to the average Joe (or Jane) looking to hold their elected officials accountable. You and your fellow citizens pay the salaries of the thousands upon thousands of state and local government employees working throughout the Golden State, and you and your fellow citizens deserve to know how your taxpayer dollars are being spent.                                       </w:t>
                  </w:r>
                </w:p>
                <w:p w14:paraId="4D759392" w14:textId="65EF95E9" w:rsidR="6D204E45" w:rsidRDefault="6D204E45" w:rsidP="6D204E45">
                  <w:pPr>
                    <w:rPr>
                      <w:sz w:val="22"/>
                      <w:szCs w:val="22"/>
                    </w:rPr>
                  </w:pPr>
                </w:p>
                <w:p w14:paraId="65E02129" w14:textId="074AB343" w:rsidR="47FCB079" w:rsidRDefault="47FCB079" w:rsidP="47FCB079">
                  <w:pPr>
                    <w:rPr>
                      <w:sz w:val="22"/>
                      <w:szCs w:val="22"/>
                    </w:rPr>
                  </w:pPr>
                  <w:r w:rsidRPr="47FCB079">
                    <w:rPr>
                      <w:sz w:val="22"/>
                      <w:szCs w:val="22"/>
                    </w:rPr>
                    <w:t>Whether you live in a small hamlet like Newcastle, or a large urban area like Irvine, all Californian’s young and old can have access to records produced by their government entities that their everyday life. The California Public Records Act serves as a tool that all Californians can use to shape their state and local communities.</w:t>
                  </w:r>
                </w:p>
                <w:p w14:paraId="0AD0358F" w14:textId="27CD4B25" w:rsidR="47FCB079" w:rsidRDefault="47FCB079" w:rsidP="47FCB079">
                  <w:pPr>
                    <w:rPr>
                      <w:sz w:val="22"/>
                      <w:szCs w:val="22"/>
                    </w:rPr>
                  </w:pPr>
                </w:p>
                <w:p w14:paraId="27DE5D3C" w14:textId="22A68FB5" w:rsidR="47FCB079" w:rsidRDefault="47FCB079" w:rsidP="72675303">
                  <w:pPr>
                    <w:spacing w:after="160"/>
                    <w:rPr>
                      <w:rFonts w:eastAsiaTheme="minorEastAsia"/>
                      <w:sz w:val="22"/>
                      <w:szCs w:val="22"/>
                    </w:rPr>
                  </w:pPr>
                  <w:r w:rsidRPr="72675303">
                    <w:rPr>
                      <w:rFonts w:eastAsiaTheme="minorEastAsia"/>
                      <w:sz w:val="22"/>
                      <w:szCs w:val="22"/>
                    </w:rPr>
                    <w:t xml:space="preserve">We are not lawyers, and this guide isn’t intended as legal advice or a comprehensive analysis of the California Public Records Act. However, this guide is a collection of our experience making public records requests and the California Public Records Act. We hope it will help you in crafting requests, finding appropriate contacts, enforcing </w:t>
                  </w:r>
                  <w:proofErr w:type="gramStart"/>
                  <w:r w:rsidRPr="72675303">
                    <w:rPr>
                      <w:rFonts w:eastAsiaTheme="minorEastAsia"/>
                      <w:sz w:val="22"/>
                      <w:szCs w:val="22"/>
                    </w:rPr>
                    <w:t>timelines</w:t>
                  </w:r>
                  <w:proofErr w:type="gramEnd"/>
                  <w:r w:rsidRPr="72675303">
                    <w:rPr>
                      <w:rFonts w:eastAsiaTheme="minorEastAsia"/>
                      <w:sz w:val="22"/>
                      <w:szCs w:val="22"/>
                    </w:rPr>
                    <w:t xml:space="preserve"> and dealing with obstacles.</w:t>
                  </w:r>
                </w:p>
                <w:p w14:paraId="55EA48A3" w14:textId="77777777" w:rsidR="00A1292C" w:rsidRDefault="001476D0" w:rsidP="068FB226">
                  <w:pPr>
                    <w:rPr>
                      <w:noProof/>
                    </w:rPr>
                  </w:pPr>
                  <w:r>
                    <w:rPr>
                      <w:noProof/>
                    </w:rPr>
                    <w:drawing>
                      <wp:anchor distT="0" distB="0" distL="114300" distR="114300" simplePos="0" relativeHeight="251655680" behindDoc="0" locked="0" layoutInCell="1" allowOverlap="1" wp14:anchorId="009E09AE" wp14:editId="45476915">
                        <wp:simplePos x="0" y="0"/>
                        <wp:positionH relativeFrom="column">
                          <wp:posOffset>3437255</wp:posOffset>
                        </wp:positionH>
                        <wp:positionV relativeFrom="paragraph">
                          <wp:posOffset>112395</wp:posOffset>
                        </wp:positionV>
                        <wp:extent cx="3428365" cy="2293620"/>
                        <wp:effectExtent l="0" t="0" r="635" b="0"/>
                        <wp:wrapSquare wrapText="bothSides"/>
                        <wp:docPr id="1919374083" name="Picture 191937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28365" cy="2293620"/>
                                </a:xfrm>
                                <a:prstGeom prst="rect">
                                  <a:avLst/>
                                </a:prstGeom>
                              </pic:spPr>
                            </pic:pic>
                          </a:graphicData>
                        </a:graphic>
                        <wp14:sizeRelH relativeFrom="page">
                          <wp14:pctWidth>0</wp14:pctWidth>
                        </wp14:sizeRelH>
                        <wp14:sizeRelV relativeFrom="page">
                          <wp14:pctHeight>0</wp14:pctHeight>
                        </wp14:sizeRelV>
                      </wp:anchor>
                    </w:drawing>
                  </w:r>
                  <w:r w:rsidR="47FCB079" w:rsidRPr="068FB226">
                    <w:rPr>
                      <w:sz w:val="22"/>
                      <w:szCs w:val="22"/>
                    </w:rPr>
                    <w:t>Together, we can make a better California!</w:t>
                  </w:r>
                  <w:r w:rsidR="00A1292C">
                    <w:rPr>
                      <w:noProof/>
                    </w:rPr>
                    <w:t xml:space="preserve"> </w:t>
                  </w:r>
                </w:p>
                <w:p w14:paraId="7B2C20FC" w14:textId="77777777" w:rsidR="001476D0" w:rsidRDefault="001476D0" w:rsidP="068FB226">
                  <w:pPr>
                    <w:rPr>
                      <w:noProof/>
                    </w:rPr>
                  </w:pPr>
                </w:p>
                <w:p w14:paraId="2E0B377F" w14:textId="77777777" w:rsidR="001476D0" w:rsidRDefault="001476D0" w:rsidP="068FB226">
                  <w:pPr>
                    <w:rPr>
                      <w:noProof/>
                    </w:rPr>
                  </w:pPr>
                </w:p>
                <w:p w14:paraId="273A6424" w14:textId="77777777" w:rsidR="001476D0" w:rsidRDefault="001476D0" w:rsidP="068FB226">
                  <w:pPr>
                    <w:rPr>
                      <w:noProof/>
                    </w:rPr>
                  </w:pPr>
                </w:p>
                <w:p w14:paraId="2A9FD3D2" w14:textId="77777777" w:rsidR="001476D0" w:rsidRDefault="001476D0" w:rsidP="068FB226">
                  <w:pPr>
                    <w:rPr>
                      <w:noProof/>
                    </w:rPr>
                  </w:pPr>
                </w:p>
                <w:p w14:paraId="6F7ED0F9" w14:textId="77777777" w:rsidR="001476D0" w:rsidRDefault="001476D0" w:rsidP="068FB226">
                  <w:pPr>
                    <w:rPr>
                      <w:noProof/>
                    </w:rPr>
                  </w:pPr>
                </w:p>
                <w:p w14:paraId="49BCFB33" w14:textId="77777777" w:rsidR="001476D0" w:rsidRDefault="001476D0" w:rsidP="068FB226">
                  <w:pPr>
                    <w:rPr>
                      <w:noProof/>
                    </w:rPr>
                  </w:pPr>
                </w:p>
                <w:p w14:paraId="2C5DFBE8" w14:textId="77777777" w:rsidR="001476D0" w:rsidRDefault="001476D0" w:rsidP="068FB226">
                  <w:pPr>
                    <w:rPr>
                      <w:noProof/>
                    </w:rPr>
                  </w:pPr>
                </w:p>
                <w:p w14:paraId="0960F625" w14:textId="77777777" w:rsidR="001476D0" w:rsidRDefault="001476D0" w:rsidP="068FB226">
                  <w:pPr>
                    <w:rPr>
                      <w:noProof/>
                    </w:rPr>
                  </w:pPr>
                </w:p>
                <w:p w14:paraId="23986B7A" w14:textId="77777777" w:rsidR="001476D0" w:rsidRDefault="001476D0" w:rsidP="068FB226">
                  <w:pPr>
                    <w:rPr>
                      <w:noProof/>
                    </w:rPr>
                  </w:pPr>
                </w:p>
                <w:p w14:paraId="5D931331" w14:textId="77777777" w:rsidR="001476D0" w:rsidRDefault="001476D0" w:rsidP="068FB226">
                  <w:pPr>
                    <w:rPr>
                      <w:noProof/>
                    </w:rPr>
                  </w:pPr>
                </w:p>
                <w:p w14:paraId="301625A4" w14:textId="77777777" w:rsidR="001476D0" w:rsidRDefault="001476D0" w:rsidP="068FB226">
                  <w:pPr>
                    <w:rPr>
                      <w:noProof/>
                    </w:rPr>
                  </w:pPr>
                </w:p>
                <w:p w14:paraId="3A6C8DFE" w14:textId="77777777" w:rsidR="001476D0" w:rsidRDefault="001476D0" w:rsidP="068FB226">
                  <w:pPr>
                    <w:rPr>
                      <w:noProof/>
                    </w:rPr>
                  </w:pPr>
                </w:p>
                <w:p w14:paraId="428B969A" w14:textId="77777777" w:rsidR="001476D0" w:rsidRDefault="001476D0" w:rsidP="068FB226">
                  <w:pPr>
                    <w:rPr>
                      <w:noProof/>
                    </w:rPr>
                  </w:pPr>
                </w:p>
                <w:p w14:paraId="359F0014" w14:textId="001D72AF" w:rsidR="001476D0" w:rsidRPr="00A1292C" w:rsidRDefault="001476D0" w:rsidP="068FB226">
                  <w:pPr>
                    <w:rPr>
                      <w:sz w:val="22"/>
                      <w:szCs w:val="22"/>
                    </w:rPr>
                  </w:pPr>
                </w:p>
              </w:tc>
            </w:tr>
          </w:tbl>
          <w:p w14:paraId="24D9D855" w14:textId="22F77A06" w:rsidR="47FCB079" w:rsidRDefault="47FCB079" w:rsidP="16DA5B56">
            <w:pPr>
              <w:pStyle w:val="Title"/>
              <w:spacing w:before="0"/>
            </w:pPr>
            <w:r>
              <w:t xml:space="preserve">                        </w:t>
            </w:r>
          </w:p>
        </w:tc>
      </w:tr>
    </w:tbl>
    <w:tbl>
      <w:tblPr>
        <w:tblStyle w:val="TableGrid"/>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layout table"/>
      </w:tblPr>
      <w:tblGrid>
        <w:gridCol w:w="11536"/>
      </w:tblGrid>
      <w:tr w:rsidR="00825C42" w14:paraId="0DA0C745" w14:textId="77777777" w:rsidTr="26FC5D22">
        <w:trPr>
          <w:trHeight w:val="375"/>
        </w:trPr>
        <w:tc>
          <w:tcPr>
            <w:tcW w:w="11536" w:type="dxa"/>
            <w:tcBorders>
              <w:bottom w:val="single" w:sz="18" w:space="0" w:color="FEDE00" w:themeColor="accent2"/>
            </w:tcBorders>
            <w:shd w:val="clear" w:color="auto" w:fill="auto"/>
            <w:vAlign w:val="bottom"/>
          </w:tcPr>
          <w:p w14:paraId="44ABCB3D" w14:textId="07F2D5CF" w:rsidR="00825C42" w:rsidRPr="00825C42" w:rsidRDefault="544214DF" w:rsidP="001960E4">
            <w:pPr>
              <w:pStyle w:val="Heading1"/>
              <w:outlineLvl w:val="0"/>
            </w:pPr>
            <w:r>
              <w:lastRenderedPageBreak/>
              <w:t>Making a request</w:t>
            </w:r>
          </w:p>
        </w:tc>
      </w:tr>
      <w:tr w:rsidR="47FCB079" w14:paraId="0845A083" w14:textId="77777777" w:rsidTr="26FC5D22">
        <w:trPr>
          <w:trHeight w:val="390"/>
        </w:trPr>
        <w:tc>
          <w:tcPr>
            <w:tcW w:w="11536" w:type="dxa"/>
            <w:tcBorders>
              <w:bottom w:val="single" w:sz="18" w:space="0" w:color="FEDE00" w:themeColor="accent2"/>
            </w:tcBorders>
            <w:shd w:val="clear" w:color="auto" w:fill="auto"/>
            <w:vAlign w:val="bottom"/>
          </w:tcPr>
          <w:p w14:paraId="6FC9A309" w14:textId="52CBBE39" w:rsidR="47FCB079" w:rsidRDefault="47FCB079" w:rsidP="068FB226">
            <w:pPr>
              <w:pStyle w:val="Heading1"/>
              <w:outlineLvl w:val="0"/>
              <w:rPr>
                <w:rFonts w:asciiTheme="minorHAnsi" w:eastAsiaTheme="minorEastAsia" w:hAnsiTheme="minorHAnsi" w:cstheme="minorBidi"/>
                <w:b w:val="0"/>
                <w:color w:val="232363"/>
                <w:sz w:val="22"/>
                <w:szCs w:val="22"/>
              </w:rPr>
            </w:pPr>
          </w:p>
          <w:p w14:paraId="3A2C45A5" w14:textId="5437DBFC" w:rsidR="47FCB079" w:rsidRDefault="47FCB079" w:rsidP="068FB226">
            <w:pPr>
              <w:rPr>
                <w:sz w:val="22"/>
                <w:szCs w:val="22"/>
              </w:rPr>
            </w:pPr>
            <w:r w:rsidRPr="16DA5B56">
              <w:rPr>
                <w:sz w:val="22"/>
                <w:szCs w:val="22"/>
              </w:rPr>
              <w:t>In California, “public records” are defined as “any writing containing information relating to the cond</w:t>
            </w:r>
            <w:r>
              <w:rPr>
                <w:noProof/>
              </w:rPr>
              <w:drawing>
                <wp:anchor distT="0" distB="0" distL="114300" distR="114300" simplePos="0" relativeHeight="251656704" behindDoc="0" locked="0" layoutInCell="1" allowOverlap="1" wp14:anchorId="205810A9" wp14:editId="17E527ED">
                  <wp:simplePos x="0" y="0"/>
                  <wp:positionH relativeFrom="column">
                    <wp:align>right</wp:align>
                  </wp:positionH>
                  <wp:positionV relativeFrom="paragraph">
                    <wp:posOffset>0</wp:posOffset>
                  </wp:positionV>
                  <wp:extent cx="1385888" cy="923925"/>
                  <wp:effectExtent l="0" t="0" r="0" b="0"/>
                  <wp:wrapSquare wrapText="bothSides"/>
                  <wp:docPr id="1760364701" name="Picture 176036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85888" cy="923925"/>
                          </a:xfrm>
                          <a:prstGeom prst="rect">
                            <a:avLst/>
                          </a:prstGeom>
                        </pic:spPr>
                      </pic:pic>
                    </a:graphicData>
                  </a:graphic>
                  <wp14:sizeRelH relativeFrom="page">
                    <wp14:pctWidth>0</wp14:pctWidth>
                  </wp14:sizeRelH>
                  <wp14:sizeRelV relativeFrom="page">
                    <wp14:pctHeight>0</wp14:pctHeight>
                  </wp14:sizeRelV>
                </wp:anchor>
              </w:drawing>
            </w:r>
            <w:r w:rsidRPr="16DA5B56">
              <w:rPr>
                <w:sz w:val="22"/>
                <w:szCs w:val="22"/>
              </w:rPr>
              <w:t>uct of the public’s business prepared, owned, used, or retained by any state or local agency regardless of physical form or characteristics." When you have identified what you are looking for, and what agency will produce that record,</w:t>
            </w:r>
            <w:r w:rsidR="3217C4E5" w:rsidRPr="16DA5B56">
              <w:rPr>
                <w:sz w:val="22"/>
                <w:szCs w:val="22"/>
              </w:rPr>
              <w:t xml:space="preserve"> </w:t>
            </w:r>
            <w:r w:rsidR="00842003" w:rsidRPr="16DA5B56">
              <w:rPr>
                <w:sz w:val="22"/>
                <w:szCs w:val="22"/>
              </w:rPr>
              <w:t>your</w:t>
            </w:r>
            <w:r w:rsidR="3217C4E5" w:rsidRPr="16DA5B56">
              <w:rPr>
                <w:sz w:val="22"/>
                <w:szCs w:val="22"/>
              </w:rPr>
              <w:t xml:space="preserve"> first step should be to search “[Name of agency] + public records portal” If this search does not take you directly to a portal, it may still result in the answer you need. Some offices that commonly handle public records are: </w:t>
            </w:r>
          </w:p>
          <w:p w14:paraId="3ADC0F05" w14:textId="52AFB0FF" w:rsidR="47FCB079" w:rsidRDefault="47FCB079" w:rsidP="068FB226">
            <w:pPr>
              <w:rPr>
                <w:sz w:val="24"/>
                <w:szCs w:val="24"/>
              </w:rPr>
            </w:pPr>
          </w:p>
          <w:p w14:paraId="4360C4BC" w14:textId="20727462" w:rsidR="47FCB079" w:rsidRDefault="3217C4E5" w:rsidP="16DA5B56">
            <w:pPr>
              <w:pStyle w:val="ListParagraph"/>
              <w:numPr>
                <w:ilvl w:val="0"/>
                <w:numId w:val="4"/>
              </w:numPr>
              <w:rPr>
                <w:rFonts w:eastAsiaTheme="minorEastAsia"/>
                <w:color w:val="000000" w:themeColor="text1"/>
                <w:sz w:val="22"/>
                <w:szCs w:val="22"/>
              </w:rPr>
            </w:pPr>
            <w:r w:rsidRPr="16DA5B56">
              <w:rPr>
                <w:rFonts w:eastAsiaTheme="minorEastAsia"/>
                <w:sz w:val="22"/>
                <w:szCs w:val="22"/>
              </w:rPr>
              <w:t xml:space="preserve">Clerk's office </w:t>
            </w:r>
          </w:p>
          <w:p w14:paraId="1DD67280" w14:textId="23F15877" w:rsidR="47FCB079" w:rsidRDefault="3217C4E5" w:rsidP="16DA5B56">
            <w:pPr>
              <w:pStyle w:val="ListParagraph"/>
              <w:numPr>
                <w:ilvl w:val="0"/>
                <w:numId w:val="4"/>
              </w:numPr>
              <w:rPr>
                <w:rFonts w:eastAsiaTheme="minorEastAsia"/>
                <w:sz w:val="22"/>
                <w:szCs w:val="22"/>
              </w:rPr>
            </w:pPr>
            <w:r w:rsidRPr="16DA5B56">
              <w:rPr>
                <w:rFonts w:eastAsiaTheme="minorEastAsia"/>
                <w:sz w:val="22"/>
                <w:szCs w:val="22"/>
              </w:rPr>
              <w:t xml:space="preserve">Recorder's office                                                                                                </w:t>
            </w:r>
          </w:p>
          <w:p w14:paraId="67FB8FAF" w14:textId="05572F9B" w:rsidR="47FCB079" w:rsidRDefault="3217C4E5" w:rsidP="16DA5B56">
            <w:pPr>
              <w:pStyle w:val="ListParagraph"/>
              <w:numPr>
                <w:ilvl w:val="0"/>
                <w:numId w:val="4"/>
              </w:numPr>
              <w:rPr>
                <w:rFonts w:eastAsiaTheme="minorEastAsia"/>
                <w:color w:val="000000" w:themeColor="text1"/>
                <w:sz w:val="22"/>
                <w:szCs w:val="22"/>
              </w:rPr>
            </w:pPr>
            <w:r w:rsidRPr="16DA5B56">
              <w:rPr>
                <w:rFonts w:eastAsiaTheme="minorEastAsia"/>
                <w:sz w:val="22"/>
                <w:szCs w:val="22"/>
              </w:rPr>
              <w:t xml:space="preserve">Assessor (property records, tax rolls) </w:t>
            </w:r>
          </w:p>
          <w:p w14:paraId="715F4263" w14:textId="560F8E60" w:rsidR="47FCB079" w:rsidRDefault="3217C4E5" w:rsidP="16DA5B56">
            <w:pPr>
              <w:pStyle w:val="ListParagraph"/>
              <w:numPr>
                <w:ilvl w:val="0"/>
                <w:numId w:val="4"/>
              </w:numPr>
              <w:rPr>
                <w:rFonts w:eastAsiaTheme="minorEastAsia"/>
                <w:color w:val="000000" w:themeColor="text1"/>
                <w:sz w:val="22"/>
                <w:szCs w:val="22"/>
              </w:rPr>
            </w:pPr>
            <w:r w:rsidRPr="16DA5B56">
              <w:rPr>
                <w:rFonts w:eastAsiaTheme="minorEastAsia"/>
                <w:sz w:val="22"/>
                <w:szCs w:val="22"/>
              </w:rPr>
              <w:t xml:space="preserve">Individual departments within a city or county </w:t>
            </w:r>
          </w:p>
          <w:p w14:paraId="56F6DB3D" w14:textId="7ED35F75" w:rsidR="47FCB079" w:rsidRDefault="3217C4E5" w:rsidP="16DA5B56">
            <w:pPr>
              <w:pStyle w:val="ListParagraph"/>
              <w:numPr>
                <w:ilvl w:val="0"/>
                <w:numId w:val="4"/>
              </w:numPr>
              <w:rPr>
                <w:rFonts w:eastAsiaTheme="minorEastAsia"/>
                <w:color w:val="000000" w:themeColor="text1"/>
                <w:sz w:val="22"/>
                <w:szCs w:val="22"/>
              </w:rPr>
            </w:pPr>
            <w:r w:rsidRPr="16DA5B56">
              <w:rPr>
                <w:rFonts w:eastAsiaTheme="minorEastAsia"/>
                <w:sz w:val="22"/>
                <w:szCs w:val="22"/>
              </w:rPr>
              <w:t xml:space="preserve">Fire and Police departments </w:t>
            </w:r>
          </w:p>
          <w:p w14:paraId="3D68D041" w14:textId="330BAC2A" w:rsidR="47FCB079" w:rsidRDefault="3217C4E5" w:rsidP="16DA5B56">
            <w:pPr>
              <w:pStyle w:val="ListParagraph"/>
              <w:numPr>
                <w:ilvl w:val="0"/>
                <w:numId w:val="4"/>
              </w:numPr>
              <w:rPr>
                <w:rFonts w:eastAsiaTheme="minorEastAsia"/>
                <w:color w:val="000000" w:themeColor="text1"/>
                <w:sz w:val="22"/>
                <w:szCs w:val="22"/>
              </w:rPr>
            </w:pPr>
            <w:r w:rsidRPr="16DA5B56">
              <w:rPr>
                <w:rFonts w:eastAsiaTheme="minorEastAsia"/>
                <w:sz w:val="22"/>
                <w:szCs w:val="22"/>
              </w:rPr>
              <w:t xml:space="preserve">Building and Safety </w:t>
            </w:r>
          </w:p>
          <w:p w14:paraId="4AD9D49D" w14:textId="065EB5B9" w:rsidR="47FCB079" w:rsidRDefault="3217C4E5" w:rsidP="41C62649">
            <w:pPr>
              <w:pStyle w:val="ListParagraph"/>
              <w:numPr>
                <w:ilvl w:val="0"/>
                <w:numId w:val="4"/>
              </w:numPr>
              <w:rPr>
                <w:rFonts w:eastAsiaTheme="minorEastAsia"/>
                <w:color w:val="000000" w:themeColor="text1"/>
                <w:sz w:val="22"/>
                <w:szCs w:val="22"/>
              </w:rPr>
            </w:pPr>
            <w:r w:rsidRPr="41C62649">
              <w:rPr>
                <w:rFonts w:eastAsiaTheme="minorEastAsia"/>
                <w:sz w:val="22"/>
                <w:szCs w:val="22"/>
              </w:rPr>
              <w:t>Planning</w:t>
            </w:r>
          </w:p>
          <w:p w14:paraId="3FB1EA74" w14:textId="0EE4BD26" w:rsidR="41C62649" w:rsidRDefault="41C62649" w:rsidP="41C62649">
            <w:pPr>
              <w:rPr>
                <w:rFonts w:eastAsiaTheme="minorEastAsia"/>
                <w:sz w:val="22"/>
                <w:szCs w:val="22"/>
              </w:rPr>
            </w:pPr>
          </w:p>
          <w:p w14:paraId="6C9A8C78" w14:textId="2631280F" w:rsidR="41C62649" w:rsidRDefault="41C62649" w:rsidP="41C62649">
            <w:pPr>
              <w:rPr>
                <w:rFonts w:eastAsiaTheme="minorEastAsia"/>
                <w:sz w:val="22"/>
                <w:szCs w:val="22"/>
              </w:rPr>
            </w:pPr>
            <w:r w:rsidRPr="41C62649">
              <w:rPr>
                <w:rFonts w:eastAsiaTheme="minorEastAsia"/>
                <w:sz w:val="22"/>
                <w:szCs w:val="22"/>
              </w:rPr>
              <w:t>Public agencies are required to help you find the appropriate agency to contact regarding your request. So</w:t>
            </w:r>
            <w:r w:rsidR="00F23249">
              <w:rPr>
                <w:rFonts w:eastAsiaTheme="minorEastAsia"/>
                <w:sz w:val="22"/>
                <w:szCs w:val="22"/>
              </w:rPr>
              <w:t>,</w:t>
            </w:r>
            <w:r w:rsidRPr="41C62649">
              <w:rPr>
                <w:rFonts w:eastAsiaTheme="minorEastAsia"/>
                <w:sz w:val="22"/>
                <w:szCs w:val="22"/>
              </w:rPr>
              <w:t xml:space="preserve"> if you are unsure if you have the right agency and/or records, don’t be afraid to speak up. These are </w:t>
            </w:r>
            <w:r w:rsidRPr="41C62649">
              <w:rPr>
                <w:rFonts w:eastAsiaTheme="minorEastAsia"/>
                <w:b/>
                <w:bCs/>
                <w:i/>
                <w:iCs/>
                <w:sz w:val="22"/>
                <w:szCs w:val="22"/>
                <w:u w:val="single"/>
              </w:rPr>
              <w:t>your</w:t>
            </w:r>
            <w:r w:rsidRPr="41C62649">
              <w:rPr>
                <w:rFonts w:eastAsiaTheme="minorEastAsia"/>
                <w:sz w:val="22"/>
                <w:szCs w:val="22"/>
              </w:rPr>
              <w:t xml:space="preserve"> public servants after all!</w:t>
            </w:r>
          </w:p>
          <w:p w14:paraId="3454509B" w14:textId="0E37C76A" w:rsidR="47FCB079" w:rsidRDefault="47FCB079" w:rsidP="41C62649">
            <w:pPr>
              <w:pStyle w:val="Heading1"/>
              <w:outlineLvl w:val="0"/>
              <w:rPr>
                <w:rFonts w:asciiTheme="minorHAnsi" w:eastAsiaTheme="minorEastAsia" w:hAnsiTheme="minorHAnsi" w:cstheme="minorBidi"/>
                <w:bCs/>
                <w:sz w:val="22"/>
                <w:szCs w:val="22"/>
              </w:rPr>
            </w:pPr>
          </w:p>
          <w:p w14:paraId="01EB33D2" w14:textId="5DC7D23D" w:rsidR="47FCB079" w:rsidRDefault="41C62649" w:rsidP="41C62649">
            <w:pPr>
              <w:pStyle w:val="Heading1"/>
              <w:spacing w:line="259" w:lineRule="auto"/>
              <w:outlineLvl w:val="0"/>
              <w:rPr>
                <w:rFonts w:ascii="Franklin Gothic Medium" w:hAnsi="Franklin Gothic Medium"/>
                <w:bCs/>
                <w:szCs w:val="24"/>
              </w:rPr>
            </w:pPr>
            <w:r>
              <w:t>The Response</w:t>
            </w:r>
          </w:p>
        </w:tc>
      </w:tr>
      <w:tr w:rsidR="00825C42" w14:paraId="3B409CE5" w14:textId="77777777" w:rsidTr="26FC5D22">
        <w:trPr>
          <w:trHeight w:val="216"/>
        </w:trPr>
        <w:tc>
          <w:tcPr>
            <w:tcW w:w="11536" w:type="dxa"/>
            <w:tcBorders>
              <w:top w:val="single" w:sz="18" w:space="0" w:color="FEDE00" w:themeColor="accent2"/>
            </w:tcBorders>
            <w:shd w:val="clear" w:color="auto" w:fill="auto"/>
            <w:vAlign w:val="center"/>
          </w:tcPr>
          <w:p w14:paraId="28C2B4DF" w14:textId="515F36D4" w:rsidR="00825C42" w:rsidRPr="00E219DC" w:rsidRDefault="00825C42" w:rsidP="41C62649">
            <w:pPr>
              <w:rPr>
                <w:rFonts w:eastAsiaTheme="minorEastAsia"/>
                <w:color w:val="1A1750"/>
                <w:sz w:val="22"/>
                <w:szCs w:val="22"/>
              </w:rPr>
            </w:pPr>
          </w:p>
          <w:p w14:paraId="449BA3F0" w14:textId="3D4EF188" w:rsidR="00825C42" w:rsidRPr="00E219DC" w:rsidRDefault="41C62649" w:rsidP="41C62649">
            <w:pPr>
              <w:rPr>
                <w:rFonts w:eastAsiaTheme="minorEastAsia"/>
                <w:sz w:val="22"/>
                <w:szCs w:val="22"/>
              </w:rPr>
            </w:pPr>
            <w:r w:rsidRPr="41C62649">
              <w:rPr>
                <w:rFonts w:eastAsiaTheme="minorEastAsia"/>
                <w:color w:val="1A1750"/>
                <w:sz w:val="22"/>
                <w:szCs w:val="22"/>
              </w:rPr>
              <w:t xml:space="preserve">After the response has been made, an agency has </w:t>
            </w:r>
            <w:r w:rsidRPr="41C62649">
              <w:rPr>
                <w:rFonts w:eastAsiaTheme="minorEastAsia"/>
                <w:b/>
                <w:bCs/>
                <w:color w:val="1A1750"/>
                <w:sz w:val="22"/>
                <w:szCs w:val="22"/>
              </w:rPr>
              <w:t>10 days</w:t>
            </w:r>
            <w:r w:rsidRPr="41C62649">
              <w:rPr>
                <w:rFonts w:eastAsiaTheme="minorEastAsia"/>
                <w:color w:val="1A1750"/>
                <w:sz w:val="22"/>
                <w:szCs w:val="22"/>
              </w:rPr>
              <w:t xml:space="preserve"> to respond to the request. However, this stip</w:t>
            </w:r>
            <w:r>
              <w:rPr>
                <w:noProof/>
              </w:rPr>
              <w:drawing>
                <wp:anchor distT="0" distB="0" distL="114300" distR="114300" simplePos="0" relativeHeight="251657728" behindDoc="0" locked="0" layoutInCell="1" allowOverlap="1" wp14:anchorId="794C2D01" wp14:editId="29BF278C">
                  <wp:simplePos x="0" y="0"/>
                  <wp:positionH relativeFrom="column">
                    <wp:align>left</wp:align>
                  </wp:positionH>
                  <wp:positionV relativeFrom="paragraph">
                    <wp:posOffset>0</wp:posOffset>
                  </wp:positionV>
                  <wp:extent cx="1304925" cy="872669"/>
                  <wp:effectExtent l="0" t="0" r="0" b="0"/>
                  <wp:wrapSquare wrapText="bothSides"/>
                  <wp:docPr id="1649901710" name="Picture 16499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04925" cy="872669"/>
                          </a:xfrm>
                          <a:prstGeom prst="rect">
                            <a:avLst/>
                          </a:prstGeom>
                        </pic:spPr>
                      </pic:pic>
                    </a:graphicData>
                  </a:graphic>
                  <wp14:sizeRelH relativeFrom="page">
                    <wp14:pctWidth>0</wp14:pctWidth>
                  </wp14:sizeRelH>
                  <wp14:sizeRelV relativeFrom="page">
                    <wp14:pctHeight>0</wp14:pctHeight>
                  </wp14:sizeRelV>
                </wp:anchor>
              </w:drawing>
            </w:r>
            <w:r w:rsidRPr="41C62649">
              <w:rPr>
                <w:rFonts w:eastAsiaTheme="minorEastAsia"/>
                <w:color w:val="1A1750"/>
                <w:sz w:val="22"/>
                <w:szCs w:val="22"/>
              </w:rPr>
              <w:t>ulation only requires an agency respond to a request, not that they produce the requested records.</w:t>
            </w:r>
          </w:p>
          <w:p w14:paraId="3A0EBA90" w14:textId="1CBFEB00" w:rsidR="00473B05" w:rsidRPr="00E219DC" w:rsidRDefault="41C62649" w:rsidP="41C62649">
            <w:pPr>
              <w:rPr>
                <w:rFonts w:eastAsiaTheme="minorEastAsia"/>
                <w:color w:val="1A1750"/>
                <w:sz w:val="22"/>
                <w:szCs w:val="22"/>
              </w:rPr>
            </w:pPr>
            <w:r w:rsidRPr="41C62649">
              <w:rPr>
                <w:rFonts w:eastAsiaTheme="minorEastAsia"/>
                <w:color w:val="1A1750"/>
                <w:sz w:val="22"/>
                <w:szCs w:val="22"/>
              </w:rPr>
              <w:t>In response, the agency in question is required</w:t>
            </w:r>
            <w:r w:rsidR="00A01E26">
              <w:rPr>
                <w:rFonts w:eastAsiaTheme="minorEastAsia"/>
                <w:color w:val="1A1750"/>
                <w:sz w:val="22"/>
                <w:szCs w:val="22"/>
              </w:rPr>
              <w:t xml:space="preserve"> to</w:t>
            </w:r>
            <w:r w:rsidRPr="41C62649">
              <w:rPr>
                <w:rFonts w:eastAsiaTheme="minorEastAsia"/>
                <w:color w:val="1A1750"/>
                <w:sz w:val="22"/>
                <w:szCs w:val="22"/>
              </w:rPr>
              <w:t>:</w:t>
            </w:r>
          </w:p>
          <w:p w14:paraId="4BBC3216" w14:textId="32912E38" w:rsidR="00825C42" w:rsidRPr="00E219DC" w:rsidRDefault="41C62649" w:rsidP="41C62649">
            <w:pPr>
              <w:pStyle w:val="ListParagraph"/>
              <w:numPr>
                <w:ilvl w:val="0"/>
                <w:numId w:val="2"/>
              </w:numPr>
              <w:rPr>
                <w:rFonts w:eastAsiaTheme="minorEastAsia"/>
                <w:color w:val="1A1750"/>
                <w:sz w:val="22"/>
                <w:szCs w:val="22"/>
              </w:rPr>
            </w:pPr>
            <w:r w:rsidRPr="41C62649">
              <w:rPr>
                <w:rFonts w:eastAsiaTheme="minorEastAsia"/>
                <w:color w:val="1A1750"/>
                <w:sz w:val="22"/>
                <w:szCs w:val="22"/>
              </w:rPr>
              <w:t>Provide the status of the request</w:t>
            </w:r>
          </w:p>
          <w:p w14:paraId="7DC416F4" w14:textId="2FF801FD" w:rsidR="00825C42" w:rsidRPr="00E219DC" w:rsidRDefault="41C62649" w:rsidP="41C62649">
            <w:pPr>
              <w:pStyle w:val="ListParagraph"/>
              <w:numPr>
                <w:ilvl w:val="0"/>
                <w:numId w:val="2"/>
              </w:numPr>
              <w:rPr>
                <w:rFonts w:eastAsiaTheme="minorEastAsia"/>
                <w:sz w:val="22"/>
                <w:szCs w:val="22"/>
              </w:rPr>
            </w:pPr>
            <w:r w:rsidRPr="41C62649">
              <w:rPr>
                <w:rFonts w:eastAsiaTheme="minorEastAsia"/>
                <w:color w:val="1A1750"/>
                <w:sz w:val="22"/>
                <w:szCs w:val="22"/>
              </w:rPr>
              <w:t xml:space="preserve">Let you know if the records are public records in their possession </w:t>
            </w:r>
          </w:p>
          <w:p w14:paraId="2767BB3F" w14:textId="2A5F7E17" w:rsidR="00825C42" w:rsidRPr="00E219DC" w:rsidRDefault="41C62649" w:rsidP="41C62649">
            <w:pPr>
              <w:pStyle w:val="ListParagraph"/>
              <w:numPr>
                <w:ilvl w:val="0"/>
                <w:numId w:val="2"/>
              </w:numPr>
              <w:rPr>
                <w:rFonts w:eastAsiaTheme="minorEastAsia"/>
                <w:sz w:val="22"/>
                <w:szCs w:val="22"/>
              </w:rPr>
            </w:pPr>
            <w:r w:rsidRPr="41C62649">
              <w:rPr>
                <w:rFonts w:eastAsiaTheme="minorEastAsia"/>
                <w:color w:val="1A1750"/>
                <w:sz w:val="22"/>
                <w:szCs w:val="22"/>
              </w:rPr>
              <w:t>Inform you of the date and time when the records will be made available.</w:t>
            </w:r>
          </w:p>
          <w:p w14:paraId="18BFEDC2" w14:textId="657A8632" w:rsidR="00825C42" w:rsidRPr="00E219DC" w:rsidRDefault="41C62649" w:rsidP="41C62649">
            <w:pPr>
              <w:pStyle w:val="ListParagraph"/>
              <w:numPr>
                <w:ilvl w:val="0"/>
                <w:numId w:val="2"/>
              </w:numPr>
              <w:rPr>
                <w:rFonts w:eastAsiaTheme="minorEastAsia"/>
                <w:sz w:val="22"/>
                <w:szCs w:val="22"/>
              </w:rPr>
            </w:pPr>
            <w:r w:rsidRPr="41C62649">
              <w:rPr>
                <w:rFonts w:eastAsiaTheme="minorEastAsia"/>
                <w:color w:val="1A1750"/>
                <w:sz w:val="22"/>
                <w:szCs w:val="22"/>
              </w:rPr>
              <w:t>Provide hard copies if you are not able to access it electronically</w:t>
            </w:r>
          </w:p>
          <w:p w14:paraId="2C2C8044" w14:textId="591C4177" w:rsidR="00825C42" w:rsidRPr="00E219DC" w:rsidRDefault="41C62649" w:rsidP="41C62649">
            <w:pPr>
              <w:pStyle w:val="ListParagraph"/>
              <w:numPr>
                <w:ilvl w:val="0"/>
                <w:numId w:val="2"/>
              </w:numPr>
              <w:rPr>
                <w:rFonts w:eastAsiaTheme="minorEastAsia"/>
                <w:sz w:val="22"/>
                <w:szCs w:val="22"/>
              </w:rPr>
            </w:pPr>
            <w:r w:rsidRPr="41C62649">
              <w:rPr>
                <w:rFonts w:eastAsiaTheme="minorEastAsia"/>
                <w:color w:val="1A1750"/>
                <w:sz w:val="22"/>
                <w:szCs w:val="22"/>
              </w:rPr>
              <w:t>Allow you to view records in person during office hours</w:t>
            </w:r>
          </w:p>
          <w:p w14:paraId="779370B6" w14:textId="0E0EDB7D" w:rsidR="00825C42" w:rsidRPr="00E219DC" w:rsidRDefault="41C62649" w:rsidP="41C62649">
            <w:pPr>
              <w:pStyle w:val="ListParagraph"/>
              <w:numPr>
                <w:ilvl w:val="0"/>
                <w:numId w:val="2"/>
              </w:numPr>
              <w:rPr>
                <w:rFonts w:eastAsiaTheme="minorEastAsia"/>
                <w:color w:val="1A1750"/>
                <w:sz w:val="22"/>
                <w:szCs w:val="22"/>
              </w:rPr>
            </w:pPr>
            <w:r w:rsidRPr="41C62649">
              <w:rPr>
                <w:rFonts w:eastAsiaTheme="minorEastAsia"/>
                <w:color w:val="1A1750"/>
                <w:sz w:val="22"/>
                <w:szCs w:val="22"/>
              </w:rPr>
              <w:t xml:space="preserve">Allow you to photograph or copy records if you don’t </w:t>
            </w:r>
            <w:proofErr w:type="gramStart"/>
            <w:r w:rsidRPr="41C62649">
              <w:rPr>
                <w:rFonts w:eastAsiaTheme="minorEastAsia"/>
                <w:color w:val="1A1750"/>
                <w:sz w:val="22"/>
                <w:szCs w:val="22"/>
              </w:rPr>
              <w:t>come in contact with</w:t>
            </w:r>
            <w:proofErr w:type="gramEnd"/>
            <w:r w:rsidRPr="41C62649">
              <w:rPr>
                <w:rFonts w:eastAsiaTheme="minorEastAsia"/>
                <w:color w:val="1A1750"/>
                <w:sz w:val="22"/>
                <w:szCs w:val="22"/>
              </w:rPr>
              <w:t xml:space="preserve"> the original document</w:t>
            </w:r>
          </w:p>
          <w:p w14:paraId="2176C09D" w14:textId="5B505457" w:rsidR="00825C42" w:rsidRPr="00E219DC" w:rsidRDefault="00825C42" w:rsidP="41C62649"/>
          <w:p w14:paraId="4AE63862" w14:textId="49B88498" w:rsidR="00825C42" w:rsidRPr="00E219DC" w:rsidRDefault="41C62649" w:rsidP="41C62649">
            <w:pPr>
              <w:rPr>
                <w:rFonts w:eastAsiaTheme="minorEastAsia"/>
                <w:color w:val="1A1750"/>
                <w:sz w:val="22"/>
                <w:szCs w:val="22"/>
              </w:rPr>
            </w:pPr>
            <w:r w:rsidRPr="41C62649">
              <w:rPr>
                <w:rFonts w:eastAsiaTheme="minorEastAsia"/>
                <w:color w:val="1A1750"/>
                <w:sz w:val="22"/>
                <w:szCs w:val="22"/>
              </w:rPr>
              <w:t xml:space="preserve">An agency can ask for an extension up to 14 </w:t>
            </w:r>
            <w:r w:rsidR="00A01E26" w:rsidRPr="41C62649">
              <w:rPr>
                <w:rFonts w:eastAsiaTheme="minorEastAsia"/>
                <w:color w:val="1A1750"/>
                <w:sz w:val="22"/>
                <w:szCs w:val="22"/>
              </w:rPr>
              <w:t>days and</w:t>
            </w:r>
            <w:r w:rsidRPr="41C62649">
              <w:rPr>
                <w:rFonts w:eastAsiaTheme="minorEastAsia"/>
                <w:color w:val="1A1750"/>
                <w:sz w:val="22"/>
                <w:szCs w:val="22"/>
              </w:rPr>
              <w:t xml:space="preserve"> can charge copying fees which are usually 10 to 40 cents per page. Beyond that, agencies are very limited in terms of what they are allowed to charge for providing records. So don’t be scared off by any language an agency may provide </w:t>
            </w:r>
            <w:r w:rsidR="00F23249" w:rsidRPr="41C62649">
              <w:rPr>
                <w:rFonts w:eastAsiaTheme="minorEastAsia"/>
                <w:color w:val="1A1750"/>
                <w:sz w:val="22"/>
                <w:szCs w:val="22"/>
              </w:rPr>
              <w:t>regarding</w:t>
            </w:r>
            <w:r w:rsidRPr="41C62649">
              <w:rPr>
                <w:rFonts w:eastAsiaTheme="minorEastAsia"/>
                <w:color w:val="1A1750"/>
                <w:sz w:val="22"/>
                <w:szCs w:val="22"/>
              </w:rPr>
              <w:t xml:space="preserve"> this.</w:t>
            </w:r>
          </w:p>
          <w:p w14:paraId="59294AA4" w14:textId="7A13FC18" w:rsidR="00825C42" w:rsidRPr="00E219DC" w:rsidRDefault="00825C42" w:rsidP="42D0E58F">
            <w:pPr>
              <w:rPr>
                <w:rFonts w:eastAsiaTheme="minorEastAsia"/>
              </w:rPr>
            </w:pPr>
          </w:p>
          <w:p w14:paraId="6C0948F4" w14:textId="62A6336A" w:rsidR="00825C42" w:rsidRPr="00E219DC" w:rsidRDefault="42D0E58F" w:rsidP="42D0E58F">
            <w:pPr>
              <w:pStyle w:val="Heading1"/>
              <w:spacing w:line="259" w:lineRule="auto"/>
              <w:outlineLvl w:val="0"/>
              <w:rPr>
                <w:rFonts w:ascii="Franklin Gothic Medium" w:hAnsi="Franklin Gothic Medium"/>
                <w:bCs/>
                <w:szCs w:val="24"/>
              </w:rPr>
            </w:pPr>
            <w:r>
              <w:t>WHEN RECORDS “DON’T EXIST”</w:t>
            </w:r>
          </w:p>
        </w:tc>
      </w:tr>
      <w:tr w:rsidR="00825C42" w14:paraId="06B033D1" w14:textId="77777777" w:rsidTr="26FC5D22">
        <w:trPr>
          <w:trHeight w:hRule="exact" w:val="216"/>
        </w:trPr>
        <w:tc>
          <w:tcPr>
            <w:tcW w:w="11536" w:type="dxa"/>
            <w:tcBorders>
              <w:top w:val="single" w:sz="18" w:space="0" w:color="FEDE00" w:themeColor="accent2"/>
            </w:tcBorders>
            <w:shd w:val="clear" w:color="auto" w:fill="auto"/>
            <w:vAlign w:val="center"/>
          </w:tcPr>
          <w:p w14:paraId="42F68745" w14:textId="77777777" w:rsidR="00825C42" w:rsidRPr="00E219DC" w:rsidRDefault="00825C42" w:rsidP="00BE6ACF"/>
        </w:tc>
      </w:tr>
    </w:tbl>
    <w:p w14:paraId="60DF4506" w14:textId="4C281C56" w:rsidR="76CE32A3" w:rsidRDefault="76CE32A3" w:rsidP="26FC5D22">
      <w:pPr>
        <w:rPr>
          <w:rFonts w:eastAsiaTheme="minorEastAsia"/>
          <w:color w:val="1A1750"/>
          <w:sz w:val="22"/>
          <w:szCs w:val="22"/>
        </w:rPr>
      </w:pPr>
      <w:r w:rsidRPr="26FC5D22">
        <w:rPr>
          <w:rFonts w:eastAsiaTheme="minorEastAsia"/>
          <w:color w:val="1A1750"/>
          <w:sz w:val="22"/>
          <w:szCs w:val="22"/>
        </w:rPr>
        <w:t>An agency may say a record does not exist based on what you described in the request. However, if you have reaso</w:t>
      </w:r>
      <w:r>
        <w:rPr>
          <w:noProof/>
        </w:rPr>
        <w:drawing>
          <wp:anchor distT="0" distB="0" distL="114300" distR="114300" simplePos="0" relativeHeight="251658752" behindDoc="0" locked="0" layoutInCell="1" allowOverlap="1" wp14:anchorId="44F03B9C" wp14:editId="7C29DA7C">
            <wp:simplePos x="0" y="0"/>
            <wp:positionH relativeFrom="column">
              <wp:align>right</wp:align>
            </wp:positionH>
            <wp:positionV relativeFrom="paragraph">
              <wp:posOffset>0</wp:posOffset>
            </wp:positionV>
            <wp:extent cx="1383224" cy="680085"/>
            <wp:effectExtent l="0" t="0" r="0" b="0"/>
            <wp:wrapSquare wrapText="bothSides"/>
            <wp:docPr id="1659752964" name="Picture 165975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383224" cy="680085"/>
                    </a:xfrm>
                    <a:prstGeom prst="rect">
                      <a:avLst/>
                    </a:prstGeom>
                  </pic:spPr>
                </pic:pic>
              </a:graphicData>
            </a:graphic>
            <wp14:sizeRelH relativeFrom="page">
              <wp14:pctWidth>0</wp14:pctWidth>
            </wp14:sizeRelH>
            <wp14:sizeRelV relativeFrom="page">
              <wp14:pctHeight>0</wp14:pctHeight>
            </wp14:sizeRelV>
          </wp:anchor>
        </w:drawing>
      </w:r>
      <w:r w:rsidRPr="26FC5D22">
        <w:rPr>
          <w:rFonts w:eastAsiaTheme="minorEastAsia"/>
          <w:color w:val="1A1750"/>
          <w:sz w:val="22"/>
          <w:szCs w:val="22"/>
        </w:rPr>
        <w:t xml:space="preserve">n to believe it does exist, be persistent and reiterate the agency’s obligation to assist you in obtaining the record. You can also suggest they provide alternative records to satisfy the request. For example, if you request payroll records with names (like we do at Transparent California) and the agency responds that they do not maintain a file with both, they could provide the state-required controllers report and a separate file with names that correspond to that data.  </w:t>
      </w:r>
    </w:p>
    <w:tbl>
      <w:tblPr>
        <w:tblStyle w:val="TableGrid"/>
        <w:tblW w:w="11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layout table"/>
      </w:tblPr>
      <w:tblGrid>
        <w:gridCol w:w="11463"/>
        <w:gridCol w:w="57"/>
      </w:tblGrid>
      <w:tr w:rsidR="00825C42" w14:paraId="3381D542" w14:textId="77777777" w:rsidTr="499F0FAD">
        <w:trPr>
          <w:gridAfter w:val="1"/>
          <w:wAfter w:w="61" w:type="dxa"/>
          <w:trHeight w:val="720"/>
        </w:trPr>
        <w:tc>
          <w:tcPr>
            <w:tcW w:w="11475" w:type="dxa"/>
            <w:tcBorders>
              <w:bottom w:val="single" w:sz="18" w:space="0" w:color="FEDE00" w:themeColor="accent2"/>
            </w:tcBorders>
            <w:shd w:val="clear" w:color="auto" w:fill="auto"/>
            <w:vAlign w:val="bottom"/>
          </w:tcPr>
          <w:p w14:paraId="52A8DF0D" w14:textId="238CAC67" w:rsidR="00825C42" w:rsidRPr="00825C42" w:rsidRDefault="7D58F350" w:rsidP="001960E4">
            <w:pPr>
              <w:pStyle w:val="Heading1"/>
              <w:outlineLvl w:val="0"/>
            </w:pPr>
            <w:r>
              <w:lastRenderedPageBreak/>
              <w:t>ACCESS DENIED</w:t>
            </w:r>
          </w:p>
        </w:tc>
      </w:tr>
      <w:tr w:rsidR="00825C42" w14:paraId="065544A1" w14:textId="77777777" w:rsidTr="00D93BCC">
        <w:trPr>
          <w:gridAfter w:val="1"/>
          <w:wAfter w:w="61" w:type="dxa"/>
          <w:trHeight w:hRule="exact" w:val="2583"/>
        </w:trPr>
        <w:tc>
          <w:tcPr>
            <w:tcW w:w="11475" w:type="dxa"/>
            <w:tcBorders>
              <w:top w:val="single" w:sz="18" w:space="0" w:color="FEDE00" w:themeColor="accent2"/>
            </w:tcBorders>
            <w:shd w:val="clear" w:color="auto" w:fill="auto"/>
            <w:vAlign w:val="center"/>
          </w:tcPr>
          <w:p w14:paraId="51E35363" w14:textId="0D2E6776" w:rsidR="00473B05" w:rsidRPr="00E219DC" w:rsidRDefault="7D58F350" w:rsidP="7D58F350">
            <w:pPr>
              <w:rPr>
                <w:rFonts w:eastAsiaTheme="minorEastAsia"/>
                <w:sz w:val="22"/>
                <w:szCs w:val="22"/>
              </w:rPr>
            </w:pPr>
            <w:r w:rsidRPr="7D58F350">
              <w:rPr>
                <w:rFonts w:eastAsiaTheme="minorEastAsia"/>
                <w:sz w:val="22"/>
                <w:szCs w:val="22"/>
              </w:rPr>
              <w:t>Agencies can deny requests, but denials are regulated by law. For instance:</w:t>
            </w:r>
          </w:p>
          <w:p w14:paraId="5BE37B81" w14:textId="7E7C516F" w:rsidR="00825C42" w:rsidRPr="00E219DC" w:rsidRDefault="3BD9AE39" w:rsidP="26FC5D22">
            <w:pPr>
              <w:pStyle w:val="ListParagraph"/>
              <w:numPr>
                <w:ilvl w:val="0"/>
                <w:numId w:val="1"/>
              </w:numPr>
              <w:rPr>
                <w:rFonts w:eastAsiaTheme="minorEastAsia"/>
                <w:sz w:val="22"/>
                <w:szCs w:val="22"/>
              </w:rPr>
            </w:pPr>
            <w:r w:rsidRPr="499F0FAD">
              <w:rPr>
                <w:rFonts w:eastAsiaTheme="minorEastAsia"/>
                <w:sz w:val="22"/>
                <w:szCs w:val="22"/>
              </w:rPr>
              <w:t>You have the right to know the names and titles of each person responsible for the denial</w:t>
            </w:r>
          </w:p>
          <w:p w14:paraId="2A2FEA85" w14:textId="7A7EF21D" w:rsidR="00825C42" w:rsidRPr="00E219DC" w:rsidRDefault="3BD9AE39" w:rsidP="75D769A7">
            <w:pPr>
              <w:pStyle w:val="ListParagraph"/>
              <w:numPr>
                <w:ilvl w:val="0"/>
                <w:numId w:val="1"/>
              </w:numPr>
              <w:rPr>
                <w:rFonts w:eastAsiaTheme="minorEastAsia"/>
                <w:sz w:val="22"/>
                <w:szCs w:val="22"/>
              </w:rPr>
            </w:pPr>
            <w:r w:rsidRPr="499F0FAD">
              <w:rPr>
                <w:rFonts w:eastAsiaTheme="minorEastAsia"/>
                <w:sz w:val="22"/>
                <w:szCs w:val="22"/>
              </w:rPr>
              <w:t>You can request an explanation for why the records are not subject to disclosure.</w:t>
            </w:r>
          </w:p>
          <w:p w14:paraId="70BE7175" w14:textId="36DA980E" w:rsidR="00825C42" w:rsidRPr="00E219DC" w:rsidRDefault="756C6F2D" w:rsidP="75D769A7">
            <w:pPr>
              <w:pStyle w:val="ListParagraph"/>
              <w:numPr>
                <w:ilvl w:val="0"/>
                <w:numId w:val="1"/>
              </w:numPr>
              <w:rPr>
                <w:rFonts w:eastAsiaTheme="minorEastAsia"/>
                <w:sz w:val="22"/>
                <w:szCs w:val="22"/>
              </w:rPr>
            </w:pPr>
            <w:r w:rsidRPr="499F0FAD">
              <w:rPr>
                <w:rFonts w:eastAsiaTheme="minorEastAsia"/>
                <w:sz w:val="22"/>
                <w:szCs w:val="22"/>
              </w:rPr>
              <w:t>You have the right to get a written explanation</w:t>
            </w:r>
          </w:p>
          <w:p w14:paraId="01F43EEF" w14:textId="7F79463B" w:rsidR="00825C42" w:rsidRPr="00E219DC" w:rsidRDefault="756C6F2D" w:rsidP="75D769A7">
            <w:pPr>
              <w:pStyle w:val="ListParagraph"/>
              <w:numPr>
                <w:ilvl w:val="0"/>
                <w:numId w:val="1"/>
              </w:numPr>
              <w:rPr>
                <w:rFonts w:eastAsiaTheme="minorEastAsia"/>
                <w:sz w:val="22"/>
                <w:szCs w:val="22"/>
              </w:rPr>
            </w:pPr>
            <w:r w:rsidRPr="499F0FAD">
              <w:rPr>
                <w:rFonts w:eastAsiaTheme="minorEastAsia"/>
                <w:sz w:val="22"/>
                <w:szCs w:val="22"/>
              </w:rPr>
              <w:t xml:space="preserve">You can still get access to a record if only part of the record cannot be released (in this case the agency must redact the portion that can’t be released unless the redaction is so extensive there is not much in the way of a record left). </w:t>
            </w:r>
          </w:p>
          <w:p w14:paraId="16DF0F29" w14:textId="3A547C28" w:rsidR="00825C42" w:rsidRPr="00E219DC" w:rsidRDefault="756C6F2D" w:rsidP="75D769A7">
            <w:pPr>
              <w:pStyle w:val="ListParagraph"/>
              <w:numPr>
                <w:ilvl w:val="0"/>
                <w:numId w:val="1"/>
              </w:numPr>
              <w:rPr>
                <w:rFonts w:eastAsiaTheme="minorEastAsia"/>
                <w:sz w:val="22"/>
                <w:szCs w:val="22"/>
              </w:rPr>
            </w:pPr>
            <w:r w:rsidRPr="499F0FAD">
              <w:rPr>
                <w:rFonts w:eastAsiaTheme="minorEastAsia"/>
                <w:sz w:val="22"/>
                <w:szCs w:val="22"/>
              </w:rPr>
              <w:t>A record cannot be denied to one person if already released by another</w:t>
            </w:r>
          </w:p>
        </w:tc>
      </w:tr>
      <w:tr w:rsidR="00825C42" w14:paraId="1F2F94E3" w14:textId="77777777" w:rsidTr="324900D8">
        <w:trPr>
          <w:trHeight w:val="735"/>
        </w:trPr>
        <w:tc>
          <w:tcPr>
            <w:tcW w:w="11536" w:type="dxa"/>
            <w:gridSpan w:val="2"/>
            <w:tcBorders>
              <w:bottom w:val="single" w:sz="18" w:space="0" w:color="FEDE00" w:themeColor="accent2"/>
            </w:tcBorders>
            <w:shd w:val="clear" w:color="auto" w:fill="auto"/>
            <w:vAlign w:val="bottom"/>
          </w:tcPr>
          <w:p w14:paraId="403A7F39" w14:textId="61524CBF" w:rsidR="00825C42" w:rsidRPr="00825C42" w:rsidRDefault="7D58F350" w:rsidP="7D58F350">
            <w:pPr>
              <w:pStyle w:val="Heading1"/>
              <w:spacing w:line="259" w:lineRule="auto"/>
              <w:outlineLvl w:val="0"/>
              <w:rPr>
                <w:rFonts w:ascii="Franklin Gothic Medium" w:hAnsi="Franklin Gothic Medium"/>
                <w:bCs/>
                <w:szCs w:val="24"/>
              </w:rPr>
            </w:pPr>
            <w:r>
              <w:t>Exemptions</w:t>
            </w:r>
          </w:p>
        </w:tc>
      </w:tr>
      <w:tr w:rsidR="7D58F350" w14:paraId="4E7391F4" w14:textId="77777777" w:rsidTr="324900D8">
        <w:trPr>
          <w:trHeight w:val="4275"/>
        </w:trPr>
        <w:tc>
          <w:tcPr>
            <w:tcW w:w="11536" w:type="dxa"/>
            <w:gridSpan w:val="2"/>
            <w:tcBorders>
              <w:bottom w:val="single" w:sz="18" w:space="0" w:color="FEDE00" w:themeColor="accent2"/>
            </w:tcBorders>
            <w:shd w:val="clear" w:color="auto" w:fill="auto"/>
            <w:vAlign w:val="bottom"/>
          </w:tcPr>
          <w:p w14:paraId="4F93D280" w14:textId="1C02EC90" w:rsidR="7D58F350" w:rsidRDefault="7D58F350" w:rsidP="7D58F350">
            <w:pPr>
              <w:rPr>
                <w:rFonts w:eastAsiaTheme="minorEastAsia"/>
                <w:sz w:val="22"/>
                <w:szCs w:val="22"/>
              </w:rPr>
            </w:pPr>
            <w:r w:rsidRPr="7D58F350">
              <w:rPr>
                <w:rFonts w:eastAsiaTheme="minorEastAsia"/>
                <w:sz w:val="22"/>
                <w:szCs w:val="22"/>
              </w:rPr>
              <w:t xml:space="preserve">Denials are allowed under the use of exemptions. </w:t>
            </w:r>
            <w:proofErr w:type="gramStart"/>
            <w:r w:rsidRPr="7D58F350">
              <w:rPr>
                <w:rFonts w:eastAsiaTheme="minorEastAsia"/>
                <w:sz w:val="22"/>
                <w:szCs w:val="22"/>
              </w:rPr>
              <w:t>Generally speaking</w:t>
            </w:r>
            <w:r w:rsidR="00A1292C">
              <w:rPr>
                <w:rFonts w:eastAsiaTheme="minorEastAsia"/>
                <w:sz w:val="22"/>
                <w:szCs w:val="22"/>
              </w:rPr>
              <w:t>,</w:t>
            </w:r>
            <w:r w:rsidRPr="7D58F350">
              <w:rPr>
                <w:rFonts w:eastAsiaTheme="minorEastAsia"/>
                <w:sz w:val="22"/>
                <w:szCs w:val="22"/>
              </w:rPr>
              <w:t xml:space="preserve"> the</w:t>
            </w:r>
            <w:proofErr w:type="gramEnd"/>
            <w:r w:rsidRPr="7D58F350">
              <w:rPr>
                <w:rFonts w:eastAsiaTheme="minorEastAsia"/>
                <w:sz w:val="22"/>
                <w:szCs w:val="22"/>
              </w:rPr>
              <w:t xml:space="preserve"> more personal the information that you are seeking, the more likely it is to be exempt. However, that is not always a barrier to getting requested information. Government salaries and emails are an example of “personal” items that could be released.</w:t>
            </w:r>
            <w:r>
              <w:br/>
            </w:r>
          </w:p>
          <w:p w14:paraId="5D238E37" w14:textId="73C126B5" w:rsidR="7D58F350" w:rsidRDefault="7D58F350" w:rsidP="7D58F350">
            <w:pPr>
              <w:rPr>
                <w:rFonts w:eastAsiaTheme="minorEastAsia"/>
                <w:sz w:val="22"/>
                <w:szCs w:val="22"/>
              </w:rPr>
            </w:pPr>
            <w:r w:rsidRPr="7D58F350">
              <w:rPr>
                <w:rFonts w:eastAsiaTheme="minorEastAsia"/>
                <w:sz w:val="22"/>
                <w:szCs w:val="22"/>
              </w:rPr>
              <w:t>This guide is not going to provide every exemption available for agencies to use, but here are examples:</w:t>
            </w:r>
          </w:p>
          <w:p w14:paraId="49DD98D5" w14:textId="2FDF4570" w:rsidR="7D58F350" w:rsidRDefault="7D58F350" w:rsidP="7D58F350">
            <w:pPr>
              <w:pStyle w:val="ListParagraph"/>
              <w:numPr>
                <w:ilvl w:val="0"/>
                <w:numId w:val="4"/>
              </w:numPr>
              <w:rPr>
                <w:rFonts w:eastAsiaTheme="minorEastAsia"/>
                <w:color w:val="000000" w:themeColor="text1"/>
                <w:sz w:val="22"/>
                <w:szCs w:val="22"/>
              </w:rPr>
            </w:pPr>
            <w:r w:rsidRPr="7D58F350">
              <w:rPr>
                <w:rFonts w:eastAsiaTheme="minorEastAsia"/>
                <w:sz w:val="22"/>
                <w:szCs w:val="22"/>
              </w:rPr>
              <w:t xml:space="preserve">Attorney-client discussions (agency can waive) </w:t>
            </w:r>
          </w:p>
          <w:p w14:paraId="3C693C71" w14:textId="54C5D407" w:rsidR="7D58F350" w:rsidRDefault="7D58F350" w:rsidP="7D58F350">
            <w:pPr>
              <w:pStyle w:val="ListParagraph"/>
              <w:numPr>
                <w:ilvl w:val="0"/>
                <w:numId w:val="4"/>
              </w:numPr>
              <w:rPr>
                <w:rFonts w:eastAsiaTheme="minorEastAsia"/>
                <w:color w:val="000000" w:themeColor="text1"/>
                <w:sz w:val="22"/>
                <w:szCs w:val="22"/>
              </w:rPr>
            </w:pPr>
            <w:r w:rsidRPr="7D58F350">
              <w:rPr>
                <w:rFonts w:eastAsiaTheme="minorEastAsia"/>
                <w:sz w:val="22"/>
                <w:szCs w:val="22"/>
              </w:rPr>
              <w:t xml:space="preserve">Documents related to litigation while the case is active </w:t>
            </w:r>
          </w:p>
          <w:p w14:paraId="68A58E88" w14:textId="31789EAB" w:rsidR="7D58F350" w:rsidRDefault="7D58F350" w:rsidP="7D58F350">
            <w:pPr>
              <w:pStyle w:val="ListParagraph"/>
              <w:numPr>
                <w:ilvl w:val="0"/>
                <w:numId w:val="4"/>
              </w:numPr>
              <w:rPr>
                <w:rFonts w:eastAsiaTheme="minorEastAsia"/>
                <w:color w:val="000000" w:themeColor="text1"/>
                <w:sz w:val="22"/>
                <w:szCs w:val="22"/>
              </w:rPr>
            </w:pPr>
            <w:r w:rsidRPr="7D58F350">
              <w:rPr>
                <w:rFonts w:eastAsiaTheme="minorEastAsia"/>
                <w:sz w:val="22"/>
                <w:szCs w:val="22"/>
              </w:rPr>
              <w:t xml:space="preserve">Preliminary drafts, notes and memos that are not normally retained </w:t>
            </w:r>
          </w:p>
          <w:p w14:paraId="3A60FEC3" w14:textId="181E5648" w:rsidR="7D58F350" w:rsidRDefault="7D58F350" w:rsidP="7D58F350">
            <w:pPr>
              <w:pStyle w:val="ListParagraph"/>
              <w:numPr>
                <w:ilvl w:val="0"/>
                <w:numId w:val="4"/>
              </w:numPr>
              <w:rPr>
                <w:rFonts w:eastAsiaTheme="minorEastAsia"/>
                <w:color w:val="000000" w:themeColor="text1"/>
                <w:sz w:val="22"/>
                <w:szCs w:val="22"/>
              </w:rPr>
            </w:pPr>
            <w:r w:rsidRPr="7D58F350">
              <w:rPr>
                <w:rFonts w:eastAsiaTheme="minorEastAsia"/>
                <w:sz w:val="22"/>
                <w:szCs w:val="22"/>
              </w:rPr>
              <w:t xml:space="preserve">Personnel, medical and similar files </w:t>
            </w:r>
          </w:p>
          <w:p w14:paraId="6695176B" w14:textId="641E1DA0" w:rsidR="7D58F350" w:rsidRDefault="7D58F350" w:rsidP="7D58F350">
            <w:pPr>
              <w:pStyle w:val="ListParagraph"/>
              <w:numPr>
                <w:ilvl w:val="0"/>
                <w:numId w:val="4"/>
              </w:numPr>
              <w:rPr>
                <w:rFonts w:eastAsiaTheme="minorEastAsia"/>
                <w:color w:val="000000" w:themeColor="text1"/>
                <w:sz w:val="22"/>
                <w:szCs w:val="22"/>
              </w:rPr>
            </w:pPr>
            <w:r w:rsidRPr="7D58F350">
              <w:rPr>
                <w:rFonts w:eastAsiaTheme="minorEastAsia"/>
                <w:sz w:val="22"/>
                <w:szCs w:val="22"/>
              </w:rPr>
              <w:t xml:space="preserve">Home addresses attached to a variety of records, including DMV, voter registration, gun license, public housing, utility and public employee records and some crime victims </w:t>
            </w:r>
          </w:p>
          <w:p w14:paraId="6AE1DF8D" w14:textId="6CE90DAE" w:rsidR="7D58F350" w:rsidRDefault="7D58F350" w:rsidP="7D58F350">
            <w:pPr>
              <w:pStyle w:val="ListParagraph"/>
              <w:numPr>
                <w:ilvl w:val="0"/>
                <w:numId w:val="4"/>
              </w:numPr>
              <w:rPr>
                <w:rFonts w:eastAsiaTheme="minorEastAsia"/>
                <w:color w:val="000000" w:themeColor="text1"/>
                <w:sz w:val="22"/>
                <w:szCs w:val="22"/>
              </w:rPr>
            </w:pPr>
            <w:r w:rsidRPr="7D58F350">
              <w:rPr>
                <w:rFonts w:eastAsiaTheme="minorEastAsia"/>
                <w:sz w:val="22"/>
                <w:szCs w:val="22"/>
              </w:rPr>
              <w:t xml:space="preserve">Financial data submitted for licenses, permits, and other circumstances </w:t>
            </w:r>
          </w:p>
          <w:p w14:paraId="11B9FD29" w14:textId="7B07690F" w:rsidR="7D58F350" w:rsidRDefault="7D58F350" w:rsidP="7D58F350">
            <w:pPr>
              <w:pStyle w:val="ListParagraph"/>
              <w:numPr>
                <w:ilvl w:val="0"/>
                <w:numId w:val="4"/>
              </w:numPr>
              <w:rPr>
                <w:rFonts w:eastAsiaTheme="minorEastAsia"/>
                <w:color w:val="000000" w:themeColor="text1"/>
                <w:sz w:val="22"/>
                <w:szCs w:val="22"/>
              </w:rPr>
            </w:pPr>
            <w:r w:rsidRPr="7D58F350">
              <w:rPr>
                <w:rFonts w:eastAsiaTheme="minorEastAsia"/>
                <w:sz w:val="22"/>
                <w:szCs w:val="22"/>
              </w:rPr>
              <w:t xml:space="preserve">Law enforcement files. However, arrest records and basic facts are subject to the CPRA unless disclosure would endanger an investigation or investigator. See Gov. Code, </w:t>
            </w:r>
            <w:hyperlink r:id="rId15">
              <w:r w:rsidRPr="7D58F350">
                <w:rPr>
                  <w:rStyle w:val="Hyperlink"/>
                  <w:rFonts w:eastAsiaTheme="minorEastAsia"/>
                  <w:color w:val="auto"/>
                  <w:sz w:val="22"/>
                  <w:szCs w:val="22"/>
                </w:rPr>
                <w:t>6254(f)</w:t>
              </w:r>
            </w:hyperlink>
            <w:r w:rsidRPr="7D58F350">
              <w:rPr>
                <w:rFonts w:eastAsiaTheme="minorEastAsia"/>
                <w:sz w:val="22"/>
                <w:szCs w:val="22"/>
              </w:rPr>
              <w:t xml:space="preserve"> for more information. </w:t>
            </w:r>
          </w:p>
          <w:p w14:paraId="4989B18B" w14:textId="40DA50B2" w:rsidR="7D58F350" w:rsidRDefault="7D58F350" w:rsidP="7D58F350">
            <w:pPr>
              <w:rPr>
                <w:rFonts w:eastAsiaTheme="minorEastAsia"/>
                <w:sz w:val="22"/>
                <w:szCs w:val="22"/>
              </w:rPr>
            </w:pPr>
          </w:p>
          <w:p w14:paraId="421F4456" w14:textId="4B7054E4" w:rsidR="7D58F350" w:rsidRDefault="7D58F350" w:rsidP="7D58F350">
            <w:pPr>
              <w:rPr>
                <w:rFonts w:eastAsiaTheme="minorEastAsia"/>
                <w:sz w:val="22"/>
                <w:szCs w:val="22"/>
              </w:rPr>
            </w:pPr>
            <w:r w:rsidRPr="7D58F350">
              <w:rPr>
                <w:rFonts w:eastAsiaTheme="minorEastAsia"/>
                <w:sz w:val="22"/>
                <w:szCs w:val="22"/>
              </w:rPr>
              <w:t xml:space="preserve">Agencies may also invoke an exemption call the balancing test if they believe “the public interest served by not making the records public clearly outweighs the public interest served by disclosure”. However, agencies are limited when implementing this, and must provide an explanation of </w:t>
            </w:r>
            <w:proofErr w:type="spellStart"/>
            <w:r w:rsidRPr="7D58F350">
              <w:rPr>
                <w:rFonts w:eastAsiaTheme="minorEastAsia"/>
                <w:sz w:val="22"/>
                <w:szCs w:val="22"/>
              </w:rPr>
              <w:t>it’s</w:t>
            </w:r>
            <w:proofErr w:type="spellEnd"/>
            <w:r w:rsidRPr="7D58F350">
              <w:rPr>
                <w:rFonts w:eastAsiaTheme="minorEastAsia"/>
                <w:sz w:val="22"/>
                <w:szCs w:val="22"/>
              </w:rPr>
              <w:t xml:space="preserve"> use (not just a generic statement of it).</w:t>
            </w:r>
          </w:p>
          <w:p w14:paraId="0D419DB0" w14:textId="1AEDE4E2" w:rsidR="7D58F350" w:rsidRDefault="7D58F350" w:rsidP="7D58F350">
            <w:pPr>
              <w:rPr>
                <w:rFonts w:eastAsiaTheme="minorEastAsia"/>
                <w:sz w:val="22"/>
                <w:szCs w:val="22"/>
              </w:rPr>
            </w:pPr>
          </w:p>
          <w:p w14:paraId="4D25A8E1" w14:textId="6EBA348D" w:rsidR="7D58F350" w:rsidRDefault="7D58F350" w:rsidP="7D58F350">
            <w:pPr>
              <w:pStyle w:val="Heading1"/>
              <w:spacing w:line="259" w:lineRule="auto"/>
              <w:outlineLvl w:val="0"/>
              <w:rPr>
                <w:rFonts w:ascii="Franklin Gothic Medium" w:hAnsi="Franklin Gothic Medium"/>
                <w:bCs/>
                <w:szCs w:val="24"/>
              </w:rPr>
            </w:pPr>
            <w:r>
              <w:t>Enforcement</w:t>
            </w:r>
          </w:p>
        </w:tc>
      </w:tr>
      <w:tr w:rsidR="499F0FAD" w14:paraId="01907B44" w14:textId="77777777" w:rsidTr="324900D8">
        <w:trPr>
          <w:trHeight w:val="540"/>
        </w:trPr>
        <w:tc>
          <w:tcPr>
            <w:tcW w:w="11536" w:type="dxa"/>
            <w:gridSpan w:val="2"/>
            <w:tcBorders>
              <w:bottom w:val="single" w:sz="18" w:space="0" w:color="FEDE00" w:themeColor="accent2"/>
            </w:tcBorders>
            <w:shd w:val="clear" w:color="auto" w:fill="auto"/>
            <w:vAlign w:val="bottom"/>
          </w:tcPr>
          <w:p w14:paraId="2ED196B8" w14:textId="48933BFC" w:rsidR="7D58F350" w:rsidRDefault="7D58F350" w:rsidP="499F0FAD">
            <w:pPr>
              <w:rPr>
                <w:rFonts w:eastAsiaTheme="minorEastAsia"/>
                <w:color w:val="1A1750"/>
                <w:sz w:val="22"/>
                <w:szCs w:val="22"/>
              </w:rPr>
            </w:pPr>
            <w:r w:rsidRPr="499F0FAD">
              <w:rPr>
                <w:rFonts w:eastAsiaTheme="minorEastAsia"/>
                <w:color w:val="1A1750"/>
                <w:sz w:val="22"/>
                <w:szCs w:val="22"/>
              </w:rPr>
              <w:t>Enforcement is a weak point in the CPRA. However, you have the option to sue an agency if you believe or</w:t>
            </w:r>
            <w:r>
              <w:rPr>
                <w:noProof/>
              </w:rPr>
              <w:drawing>
                <wp:anchor distT="0" distB="0" distL="114300" distR="114300" simplePos="0" relativeHeight="251659776" behindDoc="0" locked="0" layoutInCell="1" allowOverlap="1" wp14:anchorId="04149128" wp14:editId="74F9A7B7">
                  <wp:simplePos x="0" y="0"/>
                  <wp:positionH relativeFrom="column">
                    <wp:align>right</wp:align>
                  </wp:positionH>
                  <wp:positionV relativeFrom="paragraph">
                    <wp:posOffset>0</wp:posOffset>
                  </wp:positionV>
                  <wp:extent cx="1182872" cy="847725"/>
                  <wp:effectExtent l="0" t="0" r="0" b="0"/>
                  <wp:wrapSquare wrapText="bothSides"/>
                  <wp:docPr id="1294372319" name="Picture 129437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182872" cy="847725"/>
                          </a:xfrm>
                          <a:prstGeom prst="rect">
                            <a:avLst/>
                          </a:prstGeom>
                        </pic:spPr>
                      </pic:pic>
                    </a:graphicData>
                  </a:graphic>
                  <wp14:sizeRelH relativeFrom="page">
                    <wp14:pctWidth>0</wp14:pctWidth>
                  </wp14:sizeRelH>
                  <wp14:sizeRelV relativeFrom="page">
                    <wp14:pctHeight>0</wp14:pctHeight>
                  </wp14:sizeRelV>
                </wp:anchor>
              </w:drawing>
            </w:r>
            <w:r w:rsidRPr="499F0FAD">
              <w:rPr>
                <w:rFonts w:eastAsiaTheme="minorEastAsia"/>
                <w:color w:val="1A1750"/>
                <w:sz w:val="22"/>
                <w:szCs w:val="22"/>
              </w:rPr>
              <w:t xml:space="preserve"> know records exist and an agency tells you otherwise.  Overall, the best qualities to bring to the table when utilizing the CPRA is to be </w:t>
            </w:r>
            <w:r w:rsidRPr="499F0FAD">
              <w:rPr>
                <w:rFonts w:eastAsiaTheme="minorEastAsia"/>
                <w:b/>
                <w:bCs/>
                <w:i/>
                <w:iCs/>
                <w:color w:val="1A1750"/>
                <w:sz w:val="22"/>
                <w:szCs w:val="22"/>
                <w:u w:val="single"/>
              </w:rPr>
              <w:t>persistent and inquisitive.</w:t>
            </w:r>
            <w:r w:rsidRPr="499F0FAD">
              <w:rPr>
                <w:rFonts w:eastAsiaTheme="minorEastAsia"/>
                <w:i/>
                <w:iCs/>
                <w:color w:val="1A1750"/>
                <w:sz w:val="22"/>
                <w:szCs w:val="22"/>
                <w:u w:val="single"/>
              </w:rPr>
              <w:t xml:space="preserve"> </w:t>
            </w:r>
            <w:r w:rsidRPr="499F0FAD">
              <w:rPr>
                <w:rFonts w:eastAsiaTheme="minorEastAsia"/>
                <w:color w:val="1A1750"/>
                <w:sz w:val="22"/>
                <w:szCs w:val="22"/>
              </w:rPr>
              <w:t xml:space="preserve">If an agency does not respond in a timely manner, remind them of deadlines required by law. If told records don’t exist, dig deeper to see what files were searched and remind them of their obligation to aid you in accessing records. If the agency cites exemptions, ask them to explain why it applies and if they will waive it. If all else fails, ask to appeal your case to a higher official.  </w:t>
            </w:r>
          </w:p>
          <w:p w14:paraId="5370FE13" w14:textId="2CB8FACF" w:rsidR="00A1292C" w:rsidRDefault="00A1292C" w:rsidP="499F0FAD">
            <w:pPr>
              <w:rPr>
                <w:rFonts w:eastAsiaTheme="minorEastAsia"/>
                <w:color w:val="1A1750"/>
                <w:sz w:val="22"/>
                <w:szCs w:val="22"/>
              </w:rPr>
            </w:pPr>
          </w:p>
          <w:p w14:paraId="4F7A910B" w14:textId="2C1B3587" w:rsidR="00A1292C" w:rsidRDefault="00A1292C" w:rsidP="499F0FAD">
            <w:pPr>
              <w:rPr>
                <w:rFonts w:eastAsiaTheme="minorEastAsia"/>
                <w:color w:val="1A1750"/>
                <w:sz w:val="22"/>
                <w:szCs w:val="22"/>
              </w:rPr>
            </w:pPr>
          </w:p>
          <w:p w14:paraId="2AE1506A" w14:textId="20D6BA37" w:rsidR="00A1292C" w:rsidRDefault="00A1292C" w:rsidP="499F0FAD">
            <w:pPr>
              <w:rPr>
                <w:rFonts w:eastAsiaTheme="minorEastAsia"/>
                <w:color w:val="1A1750"/>
                <w:sz w:val="22"/>
                <w:szCs w:val="22"/>
              </w:rPr>
            </w:pPr>
          </w:p>
          <w:p w14:paraId="68B2A34C" w14:textId="282F9A37" w:rsidR="00A1292C" w:rsidRDefault="00A1292C" w:rsidP="499F0FAD">
            <w:pPr>
              <w:rPr>
                <w:rFonts w:eastAsiaTheme="minorEastAsia"/>
                <w:color w:val="1A1750"/>
                <w:sz w:val="22"/>
                <w:szCs w:val="22"/>
              </w:rPr>
            </w:pPr>
          </w:p>
          <w:p w14:paraId="2A089499" w14:textId="7188993E" w:rsidR="7D58F350" w:rsidRDefault="6D204E45" w:rsidP="6D204E45">
            <w:pPr>
              <w:pStyle w:val="Heading1"/>
              <w:spacing w:line="259" w:lineRule="auto"/>
              <w:outlineLvl w:val="0"/>
              <w:rPr>
                <w:rFonts w:ascii="Franklin Gothic Medium" w:hAnsi="Franklin Gothic Medium"/>
                <w:bCs/>
                <w:szCs w:val="24"/>
              </w:rPr>
            </w:pPr>
            <w:r>
              <w:lastRenderedPageBreak/>
              <w:t>Other useful tools</w:t>
            </w:r>
          </w:p>
        </w:tc>
      </w:tr>
      <w:tr w:rsidR="00825C42" w14:paraId="73A1F655" w14:textId="77777777" w:rsidTr="324900D8">
        <w:trPr>
          <w:trHeight w:val="2625"/>
        </w:trPr>
        <w:tc>
          <w:tcPr>
            <w:tcW w:w="11536" w:type="dxa"/>
            <w:gridSpan w:val="2"/>
            <w:tcBorders>
              <w:top w:val="single" w:sz="18" w:space="0" w:color="FEDE00" w:themeColor="accent2"/>
            </w:tcBorders>
            <w:shd w:val="clear" w:color="auto" w:fill="auto"/>
            <w:vAlign w:val="center"/>
          </w:tcPr>
          <w:p w14:paraId="20C68ED4" w14:textId="4D090CB7" w:rsidR="00825C42" w:rsidRPr="00E219DC" w:rsidRDefault="00825C42" w:rsidP="6D204E45">
            <w:pPr>
              <w:rPr>
                <w:rFonts w:eastAsiaTheme="minorEastAsia"/>
                <w:color w:val="1A1750"/>
                <w:sz w:val="22"/>
                <w:szCs w:val="22"/>
              </w:rPr>
            </w:pPr>
          </w:p>
          <w:p w14:paraId="7D96A4C2" w14:textId="32DE9DF6" w:rsidR="00825C42" w:rsidRPr="00E219DC" w:rsidRDefault="6D204E45" w:rsidP="6D204E45">
            <w:pPr>
              <w:rPr>
                <w:rFonts w:eastAsiaTheme="minorEastAsia"/>
                <w:color w:val="1A1750"/>
                <w:sz w:val="22"/>
                <w:szCs w:val="22"/>
              </w:rPr>
            </w:pPr>
            <w:r w:rsidRPr="6D204E45">
              <w:rPr>
                <w:rFonts w:eastAsiaTheme="minorEastAsia"/>
                <w:color w:val="1A1750"/>
                <w:sz w:val="22"/>
                <w:szCs w:val="22"/>
              </w:rPr>
              <w:t xml:space="preserve">California Public Records Act </w:t>
            </w:r>
          </w:p>
          <w:p w14:paraId="38F26F03" w14:textId="299C02A1" w:rsidR="00825C42" w:rsidRPr="00E219DC" w:rsidRDefault="006B6619" w:rsidP="6D204E45">
            <w:pPr>
              <w:rPr>
                <w:rFonts w:eastAsiaTheme="minorEastAsia"/>
                <w:color w:val="1A1750"/>
                <w:sz w:val="22"/>
                <w:szCs w:val="22"/>
              </w:rPr>
            </w:pPr>
            <w:hyperlink r:id="rId17">
              <w:r w:rsidR="6D204E45" w:rsidRPr="6D204E45">
                <w:rPr>
                  <w:rStyle w:val="Hyperlink"/>
                  <w:rFonts w:eastAsiaTheme="minorEastAsia"/>
                  <w:sz w:val="22"/>
                  <w:szCs w:val="22"/>
                </w:rPr>
                <w:t>https://leginfo.legislature.ca.gov/faces/codes_displayText.xhtml?division=7.&amp;chapter=3.5.&amp;lawCode=GOV&amp;title=1.&amp;article=1.</w:t>
              </w:r>
            </w:hyperlink>
            <w:r w:rsidR="6D204E45" w:rsidRPr="6D204E45">
              <w:rPr>
                <w:rFonts w:eastAsiaTheme="minorEastAsia"/>
                <w:color w:val="1A1750"/>
                <w:sz w:val="22"/>
                <w:szCs w:val="22"/>
              </w:rPr>
              <w:t xml:space="preserve"> </w:t>
            </w:r>
          </w:p>
          <w:p w14:paraId="75F3C8B6" w14:textId="57E357A5" w:rsidR="00825C42" w:rsidRPr="00E219DC" w:rsidRDefault="6D204E45" w:rsidP="6D204E45">
            <w:pPr>
              <w:rPr>
                <w:rFonts w:eastAsiaTheme="minorEastAsia"/>
                <w:color w:val="1A1750"/>
                <w:sz w:val="22"/>
                <w:szCs w:val="22"/>
              </w:rPr>
            </w:pPr>
            <w:r w:rsidRPr="6D204E45">
              <w:rPr>
                <w:rFonts w:eastAsiaTheme="minorEastAsia"/>
                <w:color w:val="1A1750"/>
                <w:sz w:val="22"/>
                <w:szCs w:val="22"/>
              </w:rPr>
              <w:t xml:space="preserve">California Constitutional Amendment </w:t>
            </w:r>
          </w:p>
          <w:p w14:paraId="69603712" w14:textId="5E24D3B5" w:rsidR="00825C42" w:rsidRPr="00E219DC" w:rsidRDefault="006B6619" w:rsidP="6D204E45">
            <w:pPr>
              <w:rPr>
                <w:rFonts w:eastAsiaTheme="minorEastAsia"/>
                <w:color w:val="1A1750"/>
                <w:sz w:val="22"/>
                <w:szCs w:val="22"/>
              </w:rPr>
            </w:pPr>
            <w:hyperlink r:id="rId18">
              <w:r w:rsidR="6D204E45" w:rsidRPr="6D204E45">
                <w:rPr>
                  <w:rStyle w:val="Hyperlink"/>
                  <w:rFonts w:eastAsiaTheme="minorEastAsia"/>
                  <w:sz w:val="22"/>
                  <w:szCs w:val="22"/>
                </w:rPr>
                <w:t>https://leginfo.legislature.ca.gov/faces/codes_displaySection.xhtml?lawCode=CONS&amp;sectionNum=SEC.%203.&amp;article=I</w:t>
              </w:r>
            </w:hyperlink>
            <w:r w:rsidR="6D204E45" w:rsidRPr="6D204E45">
              <w:rPr>
                <w:rFonts w:eastAsiaTheme="minorEastAsia"/>
                <w:color w:val="1A1750"/>
                <w:sz w:val="22"/>
                <w:szCs w:val="22"/>
              </w:rPr>
              <w:t xml:space="preserve"> </w:t>
            </w:r>
          </w:p>
          <w:p w14:paraId="1A688F86" w14:textId="0817C55E" w:rsidR="00825C42" w:rsidRPr="00E219DC" w:rsidRDefault="6D204E45" w:rsidP="6D204E45">
            <w:pPr>
              <w:rPr>
                <w:rFonts w:eastAsiaTheme="minorEastAsia"/>
                <w:color w:val="1A1750"/>
                <w:sz w:val="22"/>
                <w:szCs w:val="22"/>
              </w:rPr>
            </w:pPr>
            <w:r w:rsidRPr="6D204E45">
              <w:rPr>
                <w:rFonts w:eastAsiaTheme="minorEastAsia"/>
                <w:color w:val="1A1750"/>
                <w:sz w:val="22"/>
                <w:szCs w:val="22"/>
                <w:u w:val="single"/>
              </w:rPr>
              <w:t>National Lawyers Guild v. City of Hayward</w:t>
            </w:r>
            <w:r w:rsidRPr="6D204E45">
              <w:rPr>
                <w:rFonts w:eastAsiaTheme="minorEastAsia"/>
                <w:color w:val="1A1750"/>
                <w:sz w:val="22"/>
                <w:szCs w:val="22"/>
              </w:rPr>
              <w:t xml:space="preserve"> 2018 decision </w:t>
            </w:r>
          </w:p>
          <w:p w14:paraId="7CF03FDF" w14:textId="704FB241" w:rsidR="00825C42" w:rsidRPr="00E219DC" w:rsidRDefault="006B6619" w:rsidP="6D204E45">
            <w:pPr>
              <w:rPr>
                <w:rFonts w:eastAsiaTheme="minorEastAsia"/>
                <w:color w:val="1A1750"/>
                <w:sz w:val="22"/>
                <w:szCs w:val="22"/>
              </w:rPr>
            </w:pPr>
            <w:hyperlink r:id="rId19">
              <w:r w:rsidR="6D204E45" w:rsidRPr="6D204E45">
                <w:rPr>
                  <w:rStyle w:val="Hyperlink"/>
                  <w:rFonts w:eastAsiaTheme="minorEastAsia"/>
                  <w:sz w:val="22"/>
                  <w:szCs w:val="22"/>
                </w:rPr>
                <w:t>https://law.justia.com/cases/california/court-of-appeal/2018/a149328.html</w:t>
              </w:r>
            </w:hyperlink>
            <w:r w:rsidR="6D204E45" w:rsidRPr="6D204E45">
              <w:rPr>
                <w:rFonts w:eastAsiaTheme="minorEastAsia"/>
                <w:color w:val="1A1750"/>
                <w:sz w:val="22"/>
                <w:szCs w:val="22"/>
              </w:rPr>
              <w:t xml:space="preserve"> </w:t>
            </w:r>
          </w:p>
          <w:p w14:paraId="43CE8A02" w14:textId="5AE15386" w:rsidR="00825C42" w:rsidRPr="00E219DC" w:rsidRDefault="6D204E45" w:rsidP="7D58F350">
            <w:pPr>
              <w:rPr>
                <w:rFonts w:eastAsiaTheme="minorEastAsia"/>
                <w:color w:val="1A1750"/>
                <w:sz w:val="22"/>
                <w:szCs w:val="22"/>
              </w:rPr>
            </w:pPr>
            <w:r w:rsidRPr="6D204E45">
              <w:rPr>
                <w:rFonts w:eastAsiaTheme="minorEastAsia"/>
                <w:color w:val="1A1750"/>
                <w:sz w:val="22"/>
                <w:szCs w:val="22"/>
                <w:u w:val="single"/>
              </w:rPr>
              <w:t>National Lawyers Guild v. City of Hayward</w:t>
            </w:r>
            <w:r w:rsidRPr="6D204E45">
              <w:rPr>
                <w:rFonts w:eastAsiaTheme="minorEastAsia"/>
                <w:color w:val="1A1750"/>
                <w:sz w:val="22"/>
                <w:szCs w:val="22"/>
              </w:rPr>
              <w:t xml:space="preserve"> 2020 decision</w:t>
            </w:r>
            <w:r w:rsidR="0ECAA3B5" w:rsidRPr="6D204E45">
              <w:rPr>
                <w:rFonts w:eastAsiaTheme="minorEastAsia"/>
                <w:color w:val="1A1750"/>
                <w:sz w:val="22"/>
                <w:szCs w:val="22"/>
              </w:rPr>
              <w:t xml:space="preserve">  </w:t>
            </w:r>
          </w:p>
          <w:p w14:paraId="4EFAE963" w14:textId="52A429DC" w:rsidR="6D204E45" w:rsidRDefault="6D204E45" w:rsidP="6D204E45">
            <w:pPr>
              <w:rPr>
                <w:rFonts w:eastAsiaTheme="minorEastAsia"/>
                <w:sz w:val="22"/>
                <w:szCs w:val="22"/>
              </w:rPr>
            </w:pPr>
          </w:p>
          <w:p w14:paraId="07B10C2A" w14:textId="515DD4F4" w:rsidR="6D204E45" w:rsidRDefault="6D204E45" w:rsidP="6D204E45"/>
          <w:p w14:paraId="70126EEB" w14:textId="72597266" w:rsidR="00825C42" w:rsidRPr="00E219DC" w:rsidRDefault="00825C42" w:rsidP="6D204E45">
            <w:pPr>
              <w:rPr>
                <w:rFonts w:eastAsiaTheme="minorEastAsia"/>
                <w:sz w:val="22"/>
                <w:szCs w:val="22"/>
              </w:rPr>
            </w:pPr>
          </w:p>
          <w:p w14:paraId="7F6F8082" w14:textId="2CA71CDE" w:rsidR="00825C42" w:rsidRPr="00F23249" w:rsidRDefault="6D204E45" w:rsidP="6D204E45">
            <w:pPr>
              <w:jc w:val="center"/>
              <w:rPr>
                <w:rFonts w:ascii="Franklin Gothic Book" w:eastAsia="Franklin Gothic Book" w:hAnsi="Franklin Gothic Book" w:cs="Franklin Gothic Book"/>
                <w:b/>
                <w:bCs/>
                <w:i/>
                <w:iCs/>
                <w:sz w:val="28"/>
                <w:szCs w:val="28"/>
                <w:u w:val="single"/>
              </w:rPr>
            </w:pPr>
            <w:r w:rsidRPr="00F23249">
              <w:rPr>
                <w:rFonts w:eastAsiaTheme="minorEastAsia"/>
                <w:b/>
                <w:bCs/>
                <w:color w:val="000000" w:themeColor="text1"/>
                <w:sz w:val="28"/>
                <w:szCs w:val="28"/>
                <w:u w:val="single"/>
              </w:rPr>
              <w:t>Best of Luck! And remember</w:t>
            </w:r>
            <w:r w:rsidR="00F23249">
              <w:rPr>
                <w:rFonts w:eastAsiaTheme="minorEastAsia"/>
                <w:b/>
                <w:bCs/>
                <w:color w:val="000000" w:themeColor="text1"/>
                <w:sz w:val="28"/>
                <w:szCs w:val="28"/>
                <w:u w:val="single"/>
              </w:rPr>
              <w:t xml:space="preserve"> that</w:t>
            </w:r>
            <w:r w:rsidRPr="00F23249">
              <w:rPr>
                <w:rFonts w:eastAsiaTheme="minorEastAsia"/>
                <w:b/>
                <w:bCs/>
                <w:color w:val="000000" w:themeColor="text1"/>
                <w:sz w:val="28"/>
                <w:szCs w:val="28"/>
                <w:u w:val="single"/>
              </w:rPr>
              <w:t xml:space="preserve"> being</w:t>
            </w:r>
            <w:r w:rsidRPr="00F23249">
              <w:rPr>
                <w:rFonts w:ascii="Franklin Gothic Book" w:eastAsia="Franklin Gothic Book" w:hAnsi="Franklin Gothic Book" w:cs="Franklin Gothic Book"/>
                <w:b/>
                <w:bCs/>
                <w:i/>
                <w:iCs/>
                <w:color w:val="000000" w:themeColor="text1"/>
                <w:sz w:val="28"/>
                <w:szCs w:val="28"/>
                <w:u w:val="single"/>
              </w:rPr>
              <w:t xml:space="preserve"> persistent and inquisitive </w:t>
            </w:r>
            <w:r w:rsidRPr="00F23249">
              <w:rPr>
                <w:rFonts w:ascii="Franklin Gothic Book" w:eastAsia="Franklin Gothic Book" w:hAnsi="Franklin Gothic Book" w:cs="Franklin Gothic Book"/>
                <w:b/>
                <w:bCs/>
                <w:color w:val="000000" w:themeColor="text1"/>
                <w:sz w:val="28"/>
                <w:szCs w:val="28"/>
                <w:u w:val="single"/>
              </w:rPr>
              <w:t xml:space="preserve">is </w:t>
            </w:r>
            <w:r w:rsidR="00F23249">
              <w:rPr>
                <w:rFonts w:ascii="Franklin Gothic Book" w:eastAsia="Franklin Gothic Book" w:hAnsi="Franklin Gothic Book" w:cs="Franklin Gothic Book"/>
                <w:b/>
                <w:bCs/>
                <w:color w:val="000000" w:themeColor="text1"/>
                <w:sz w:val="28"/>
                <w:szCs w:val="28"/>
                <w:u w:val="single"/>
              </w:rPr>
              <w:t>essential</w:t>
            </w:r>
            <w:r w:rsidRPr="00F23249">
              <w:rPr>
                <w:rFonts w:ascii="Franklin Gothic Book" w:eastAsia="Franklin Gothic Book" w:hAnsi="Franklin Gothic Book" w:cs="Franklin Gothic Book"/>
                <w:b/>
                <w:bCs/>
                <w:color w:val="000000" w:themeColor="text1"/>
                <w:sz w:val="28"/>
                <w:szCs w:val="28"/>
                <w:u w:val="single"/>
              </w:rPr>
              <w:t>!</w:t>
            </w:r>
          </w:p>
        </w:tc>
      </w:tr>
    </w:tbl>
    <w:p w14:paraId="47CC3AE6" w14:textId="77777777" w:rsidR="00995EAE" w:rsidRDefault="00995EAE"/>
    <w:sectPr w:rsidR="00995EAE" w:rsidSect="001A58E9">
      <w:headerReference w:type="default" r:id="rId20"/>
      <w:footerReference w:type="default" r:id="rId21"/>
      <w:headerReference w:type="first" r:id="rId22"/>
      <w:footerReference w:type="first" r:id="rId23"/>
      <w:pgSz w:w="12240" w:h="15840" w:code="1"/>
      <w:pgMar w:top="360" w:right="360" w:bottom="360" w:left="36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010E3" w14:textId="77777777" w:rsidR="001050D5" w:rsidRDefault="001050D5" w:rsidP="00E02929">
      <w:pPr>
        <w:spacing w:after="0"/>
      </w:pPr>
      <w:r>
        <w:separator/>
      </w:r>
    </w:p>
    <w:p w14:paraId="76D49AAB" w14:textId="77777777" w:rsidR="001050D5" w:rsidRDefault="001050D5"/>
  </w:endnote>
  <w:endnote w:type="continuationSeparator" w:id="0">
    <w:p w14:paraId="5DA29EC3" w14:textId="77777777" w:rsidR="001050D5" w:rsidRDefault="001050D5" w:rsidP="00E02929">
      <w:pPr>
        <w:spacing w:after="0"/>
      </w:pPr>
      <w:r>
        <w:continuationSeparator/>
      </w:r>
    </w:p>
    <w:p w14:paraId="42B17E00" w14:textId="77777777" w:rsidR="001050D5" w:rsidRDefault="00105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15FE" w14:textId="77777777" w:rsidR="00813E52" w:rsidRDefault="00813E52">
    <w:pPr>
      <w:pStyle w:val="Footer"/>
    </w:pPr>
    <w:r>
      <w:t xml:space="preserve">Page </w:t>
    </w:r>
    <w:sdt>
      <w:sdtPr>
        <w:id w:val="148930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90FED">
          <w:rPr>
            <w:noProof/>
          </w:rPr>
          <w:t>2</w:t>
        </w:r>
        <w:r>
          <w:rPr>
            <w:noProof/>
          </w:rPr>
          <w:fldChar w:fldCharType="end"/>
        </w:r>
      </w:sdtContent>
    </w:sdt>
  </w:p>
  <w:p w14:paraId="36069F1F" w14:textId="77777777" w:rsidR="00321F35" w:rsidRDefault="00321F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0"/>
      <w:gridCol w:w="3840"/>
      <w:gridCol w:w="3840"/>
    </w:tblGrid>
    <w:tr w:rsidR="47FCB079" w14:paraId="0984B78E" w14:textId="77777777" w:rsidTr="47FCB079">
      <w:tc>
        <w:tcPr>
          <w:tcW w:w="3840" w:type="dxa"/>
        </w:tcPr>
        <w:p w14:paraId="4D9C8870" w14:textId="1D81BE01" w:rsidR="47FCB079" w:rsidRDefault="47FCB079" w:rsidP="47FCB079">
          <w:pPr>
            <w:pStyle w:val="Header"/>
            <w:ind w:left="-115"/>
          </w:pPr>
        </w:p>
      </w:tc>
      <w:tc>
        <w:tcPr>
          <w:tcW w:w="3840" w:type="dxa"/>
        </w:tcPr>
        <w:p w14:paraId="3670382C" w14:textId="38D5EA92" w:rsidR="47FCB079" w:rsidRDefault="47FCB079" w:rsidP="47FCB079">
          <w:pPr>
            <w:pStyle w:val="Header"/>
            <w:jc w:val="center"/>
          </w:pPr>
        </w:p>
      </w:tc>
      <w:tc>
        <w:tcPr>
          <w:tcW w:w="3840" w:type="dxa"/>
        </w:tcPr>
        <w:p w14:paraId="6D6ABF3F" w14:textId="22520DC0" w:rsidR="47FCB079" w:rsidRDefault="47FCB079" w:rsidP="47FCB079">
          <w:pPr>
            <w:pStyle w:val="Header"/>
            <w:ind w:right="-115"/>
            <w:jc w:val="right"/>
          </w:pPr>
        </w:p>
      </w:tc>
    </w:tr>
  </w:tbl>
  <w:p w14:paraId="698CFFED" w14:textId="6DE9E304" w:rsidR="47FCB079" w:rsidRDefault="47FCB079" w:rsidP="47FCB0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57F33" w14:textId="77777777" w:rsidR="001050D5" w:rsidRDefault="001050D5" w:rsidP="00E02929">
      <w:pPr>
        <w:spacing w:after="0"/>
      </w:pPr>
      <w:r>
        <w:separator/>
      </w:r>
    </w:p>
    <w:p w14:paraId="72EDA3D6" w14:textId="77777777" w:rsidR="001050D5" w:rsidRDefault="001050D5"/>
  </w:footnote>
  <w:footnote w:type="continuationSeparator" w:id="0">
    <w:p w14:paraId="74C04C24" w14:textId="77777777" w:rsidR="001050D5" w:rsidRDefault="001050D5" w:rsidP="00E02929">
      <w:pPr>
        <w:spacing w:after="0"/>
      </w:pPr>
      <w:r>
        <w:continuationSeparator/>
      </w:r>
    </w:p>
    <w:p w14:paraId="10360900" w14:textId="77777777" w:rsidR="001050D5" w:rsidRDefault="001050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0"/>
      <w:gridCol w:w="3840"/>
      <w:gridCol w:w="3840"/>
    </w:tblGrid>
    <w:tr w:rsidR="47FCB079" w14:paraId="2B48B4DA" w14:textId="77777777" w:rsidTr="47FCB079">
      <w:tc>
        <w:tcPr>
          <w:tcW w:w="3840" w:type="dxa"/>
        </w:tcPr>
        <w:p w14:paraId="3B39FEF4" w14:textId="519D5F60" w:rsidR="47FCB079" w:rsidRDefault="47FCB079" w:rsidP="47FCB079">
          <w:pPr>
            <w:pStyle w:val="Header"/>
            <w:ind w:left="-115"/>
          </w:pPr>
        </w:p>
      </w:tc>
      <w:tc>
        <w:tcPr>
          <w:tcW w:w="3840" w:type="dxa"/>
        </w:tcPr>
        <w:p w14:paraId="28F03AD1" w14:textId="10BF84F7" w:rsidR="47FCB079" w:rsidRDefault="47FCB079" w:rsidP="47FCB079">
          <w:pPr>
            <w:pStyle w:val="Header"/>
            <w:jc w:val="center"/>
          </w:pPr>
        </w:p>
      </w:tc>
      <w:tc>
        <w:tcPr>
          <w:tcW w:w="3840" w:type="dxa"/>
        </w:tcPr>
        <w:p w14:paraId="045CEBA9" w14:textId="5860EAF0" w:rsidR="47FCB079" w:rsidRDefault="47FCB079" w:rsidP="47FCB079">
          <w:pPr>
            <w:pStyle w:val="Header"/>
            <w:ind w:right="-115"/>
            <w:jc w:val="right"/>
          </w:pPr>
        </w:p>
      </w:tc>
    </w:tr>
  </w:tbl>
  <w:p w14:paraId="546D653E" w14:textId="4A85FB6F" w:rsidR="47FCB079" w:rsidRDefault="47FCB079" w:rsidP="47FCB0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0"/>
      <w:gridCol w:w="3840"/>
      <w:gridCol w:w="3840"/>
    </w:tblGrid>
    <w:tr w:rsidR="47FCB079" w14:paraId="6270656C" w14:textId="77777777" w:rsidTr="47FCB079">
      <w:tc>
        <w:tcPr>
          <w:tcW w:w="3840" w:type="dxa"/>
        </w:tcPr>
        <w:p w14:paraId="75920FCF" w14:textId="267AE92A" w:rsidR="47FCB079" w:rsidRDefault="47FCB079" w:rsidP="47FCB079">
          <w:pPr>
            <w:pStyle w:val="Header"/>
            <w:ind w:left="-115"/>
          </w:pPr>
        </w:p>
      </w:tc>
      <w:tc>
        <w:tcPr>
          <w:tcW w:w="3840" w:type="dxa"/>
        </w:tcPr>
        <w:p w14:paraId="0033DA22" w14:textId="258DC35E" w:rsidR="47FCB079" w:rsidRDefault="47FCB079" w:rsidP="47FCB079">
          <w:pPr>
            <w:pStyle w:val="Header"/>
            <w:jc w:val="center"/>
          </w:pPr>
        </w:p>
      </w:tc>
      <w:tc>
        <w:tcPr>
          <w:tcW w:w="3840" w:type="dxa"/>
        </w:tcPr>
        <w:p w14:paraId="1D760CDF" w14:textId="7CA49994" w:rsidR="47FCB079" w:rsidRDefault="47FCB079" w:rsidP="47FCB079">
          <w:pPr>
            <w:pStyle w:val="Header"/>
            <w:ind w:right="-115"/>
            <w:jc w:val="right"/>
          </w:pPr>
        </w:p>
      </w:tc>
    </w:tr>
  </w:tbl>
  <w:p w14:paraId="6F444162" w14:textId="10ED686C" w:rsidR="47FCB079" w:rsidRDefault="47FCB079" w:rsidP="47FCB0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1C573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716E47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B822B5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C16B05C"/>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264ED794"/>
    <w:lvl w:ilvl="0">
      <w:start w:val="1"/>
      <w:numFmt w:val="decimal"/>
      <w:lvlText w:val="%1."/>
      <w:lvlJc w:val="left"/>
      <w:pPr>
        <w:tabs>
          <w:tab w:val="num" w:pos="360"/>
        </w:tabs>
        <w:ind w:left="360" w:hanging="360"/>
      </w:pPr>
    </w:lvl>
  </w:abstractNum>
  <w:abstractNum w:abstractNumId="5" w15:restartNumberingAfterBreak="0">
    <w:nsid w:val="22DA2C22"/>
    <w:multiLevelType w:val="hybridMultilevel"/>
    <w:tmpl w:val="8182F810"/>
    <w:lvl w:ilvl="0" w:tplc="3940A826">
      <w:start w:val="1"/>
      <w:numFmt w:val="lowerLetter"/>
      <w:lvlText w:val="%1."/>
      <w:lvlJc w:val="left"/>
      <w:pPr>
        <w:ind w:left="720" w:hanging="360"/>
      </w:pPr>
    </w:lvl>
    <w:lvl w:ilvl="1" w:tplc="55A2A786">
      <w:start w:val="1"/>
      <w:numFmt w:val="lowerLetter"/>
      <w:lvlText w:val="%2."/>
      <w:lvlJc w:val="left"/>
      <w:pPr>
        <w:ind w:left="1440" w:hanging="360"/>
      </w:pPr>
    </w:lvl>
    <w:lvl w:ilvl="2" w:tplc="61021FF0">
      <w:start w:val="1"/>
      <w:numFmt w:val="lowerRoman"/>
      <w:lvlText w:val="%3."/>
      <w:lvlJc w:val="right"/>
      <w:pPr>
        <w:ind w:left="2160" w:hanging="180"/>
      </w:pPr>
    </w:lvl>
    <w:lvl w:ilvl="3" w:tplc="99B8A99E">
      <w:start w:val="1"/>
      <w:numFmt w:val="decimal"/>
      <w:lvlText w:val="%4."/>
      <w:lvlJc w:val="left"/>
      <w:pPr>
        <w:ind w:left="2880" w:hanging="360"/>
      </w:pPr>
    </w:lvl>
    <w:lvl w:ilvl="4" w:tplc="9B88338E">
      <w:start w:val="1"/>
      <w:numFmt w:val="lowerLetter"/>
      <w:lvlText w:val="%5."/>
      <w:lvlJc w:val="left"/>
      <w:pPr>
        <w:ind w:left="3600" w:hanging="360"/>
      </w:pPr>
    </w:lvl>
    <w:lvl w:ilvl="5" w:tplc="47EC7880">
      <w:start w:val="1"/>
      <w:numFmt w:val="lowerRoman"/>
      <w:lvlText w:val="%6."/>
      <w:lvlJc w:val="right"/>
      <w:pPr>
        <w:ind w:left="4320" w:hanging="180"/>
      </w:pPr>
    </w:lvl>
    <w:lvl w:ilvl="6" w:tplc="35BCFE24">
      <w:start w:val="1"/>
      <w:numFmt w:val="decimal"/>
      <w:lvlText w:val="%7."/>
      <w:lvlJc w:val="left"/>
      <w:pPr>
        <w:ind w:left="5040" w:hanging="360"/>
      </w:pPr>
    </w:lvl>
    <w:lvl w:ilvl="7" w:tplc="66E008DA">
      <w:start w:val="1"/>
      <w:numFmt w:val="lowerLetter"/>
      <w:lvlText w:val="%8."/>
      <w:lvlJc w:val="left"/>
      <w:pPr>
        <w:ind w:left="5760" w:hanging="360"/>
      </w:pPr>
    </w:lvl>
    <w:lvl w:ilvl="8" w:tplc="F93AC6C2">
      <w:start w:val="1"/>
      <w:numFmt w:val="lowerRoman"/>
      <w:lvlText w:val="%9."/>
      <w:lvlJc w:val="right"/>
      <w:pPr>
        <w:ind w:left="6480" w:hanging="180"/>
      </w:pPr>
    </w:lvl>
  </w:abstractNum>
  <w:abstractNum w:abstractNumId="6" w15:restartNumberingAfterBreak="0">
    <w:nsid w:val="3C3B69B5"/>
    <w:multiLevelType w:val="hybridMultilevel"/>
    <w:tmpl w:val="3A540BCE"/>
    <w:lvl w:ilvl="0" w:tplc="46B6323C">
      <w:start w:val="1"/>
      <w:numFmt w:val="bullet"/>
      <w:lvlText w:val=""/>
      <w:lvlJc w:val="left"/>
      <w:pPr>
        <w:ind w:left="720" w:hanging="360"/>
      </w:pPr>
      <w:rPr>
        <w:rFonts w:ascii="Symbol" w:hAnsi="Symbol" w:hint="default"/>
      </w:rPr>
    </w:lvl>
    <w:lvl w:ilvl="1" w:tplc="8432ED6A">
      <w:start w:val="1"/>
      <w:numFmt w:val="bullet"/>
      <w:lvlText w:val="o"/>
      <w:lvlJc w:val="left"/>
      <w:pPr>
        <w:ind w:left="1440" w:hanging="360"/>
      </w:pPr>
      <w:rPr>
        <w:rFonts w:ascii="Courier New" w:hAnsi="Courier New" w:hint="default"/>
      </w:rPr>
    </w:lvl>
    <w:lvl w:ilvl="2" w:tplc="B630D004">
      <w:start w:val="1"/>
      <w:numFmt w:val="bullet"/>
      <w:lvlText w:val=""/>
      <w:lvlJc w:val="left"/>
      <w:pPr>
        <w:ind w:left="2160" w:hanging="360"/>
      </w:pPr>
      <w:rPr>
        <w:rFonts w:ascii="Wingdings" w:hAnsi="Wingdings" w:hint="default"/>
      </w:rPr>
    </w:lvl>
    <w:lvl w:ilvl="3" w:tplc="AFE22534">
      <w:start w:val="1"/>
      <w:numFmt w:val="bullet"/>
      <w:lvlText w:val=""/>
      <w:lvlJc w:val="left"/>
      <w:pPr>
        <w:ind w:left="2880" w:hanging="360"/>
      </w:pPr>
      <w:rPr>
        <w:rFonts w:ascii="Symbol" w:hAnsi="Symbol" w:hint="default"/>
      </w:rPr>
    </w:lvl>
    <w:lvl w:ilvl="4" w:tplc="96027012">
      <w:start w:val="1"/>
      <w:numFmt w:val="bullet"/>
      <w:lvlText w:val="o"/>
      <w:lvlJc w:val="left"/>
      <w:pPr>
        <w:ind w:left="3600" w:hanging="360"/>
      </w:pPr>
      <w:rPr>
        <w:rFonts w:ascii="Courier New" w:hAnsi="Courier New" w:hint="default"/>
      </w:rPr>
    </w:lvl>
    <w:lvl w:ilvl="5" w:tplc="03CE7904">
      <w:start w:val="1"/>
      <w:numFmt w:val="bullet"/>
      <w:lvlText w:val=""/>
      <w:lvlJc w:val="left"/>
      <w:pPr>
        <w:ind w:left="4320" w:hanging="360"/>
      </w:pPr>
      <w:rPr>
        <w:rFonts w:ascii="Wingdings" w:hAnsi="Wingdings" w:hint="default"/>
      </w:rPr>
    </w:lvl>
    <w:lvl w:ilvl="6" w:tplc="26749F10">
      <w:start w:val="1"/>
      <w:numFmt w:val="bullet"/>
      <w:lvlText w:val=""/>
      <w:lvlJc w:val="left"/>
      <w:pPr>
        <w:ind w:left="5040" w:hanging="360"/>
      </w:pPr>
      <w:rPr>
        <w:rFonts w:ascii="Symbol" w:hAnsi="Symbol" w:hint="default"/>
      </w:rPr>
    </w:lvl>
    <w:lvl w:ilvl="7" w:tplc="D9D2D4A2">
      <w:start w:val="1"/>
      <w:numFmt w:val="bullet"/>
      <w:lvlText w:val="o"/>
      <w:lvlJc w:val="left"/>
      <w:pPr>
        <w:ind w:left="5760" w:hanging="360"/>
      </w:pPr>
      <w:rPr>
        <w:rFonts w:ascii="Courier New" w:hAnsi="Courier New" w:hint="default"/>
      </w:rPr>
    </w:lvl>
    <w:lvl w:ilvl="8" w:tplc="C80E6B4E">
      <w:start w:val="1"/>
      <w:numFmt w:val="bullet"/>
      <w:lvlText w:val=""/>
      <w:lvlJc w:val="left"/>
      <w:pPr>
        <w:ind w:left="6480" w:hanging="360"/>
      </w:pPr>
      <w:rPr>
        <w:rFonts w:ascii="Wingdings" w:hAnsi="Wingdings" w:hint="default"/>
      </w:rPr>
    </w:lvl>
  </w:abstractNum>
  <w:abstractNum w:abstractNumId="7" w15:restartNumberingAfterBreak="0">
    <w:nsid w:val="41D5460A"/>
    <w:multiLevelType w:val="hybridMultilevel"/>
    <w:tmpl w:val="8004B3AE"/>
    <w:lvl w:ilvl="0" w:tplc="AD6CAAAC">
      <w:start w:val="1"/>
      <w:numFmt w:val="bullet"/>
      <w:lvlText w:val=""/>
      <w:lvlJc w:val="left"/>
      <w:pPr>
        <w:ind w:left="720" w:hanging="360"/>
      </w:pPr>
      <w:rPr>
        <w:rFonts w:ascii="Symbol" w:hAnsi="Symbol" w:hint="default"/>
      </w:rPr>
    </w:lvl>
    <w:lvl w:ilvl="1" w:tplc="3C4A384A">
      <w:start w:val="1"/>
      <w:numFmt w:val="bullet"/>
      <w:lvlText w:val="o"/>
      <w:lvlJc w:val="left"/>
      <w:pPr>
        <w:ind w:left="1440" w:hanging="360"/>
      </w:pPr>
      <w:rPr>
        <w:rFonts w:ascii="Courier New" w:hAnsi="Courier New" w:hint="default"/>
      </w:rPr>
    </w:lvl>
    <w:lvl w:ilvl="2" w:tplc="B99E5896">
      <w:start w:val="1"/>
      <w:numFmt w:val="bullet"/>
      <w:lvlText w:val=""/>
      <w:lvlJc w:val="left"/>
      <w:pPr>
        <w:ind w:left="2160" w:hanging="360"/>
      </w:pPr>
      <w:rPr>
        <w:rFonts w:ascii="Wingdings" w:hAnsi="Wingdings" w:hint="default"/>
      </w:rPr>
    </w:lvl>
    <w:lvl w:ilvl="3" w:tplc="0414E03C">
      <w:start w:val="1"/>
      <w:numFmt w:val="bullet"/>
      <w:lvlText w:val=""/>
      <w:lvlJc w:val="left"/>
      <w:pPr>
        <w:ind w:left="2880" w:hanging="360"/>
      </w:pPr>
      <w:rPr>
        <w:rFonts w:ascii="Symbol" w:hAnsi="Symbol" w:hint="default"/>
      </w:rPr>
    </w:lvl>
    <w:lvl w:ilvl="4" w:tplc="E828E088">
      <w:start w:val="1"/>
      <w:numFmt w:val="bullet"/>
      <w:lvlText w:val="o"/>
      <w:lvlJc w:val="left"/>
      <w:pPr>
        <w:ind w:left="3600" w:hanging="360"/>
      </w:pPr>
      <w:rPr>
        <w:rFonts w:ascii="Courier New" w:hAnsi="Courier New" w:hint="default"/>
      </w:rPr>
    </w:lvl>
    <w:lvl w:ilvl="5" w:tplc="685E75D8">
      <w:start w:val="1"/>
      <w:numFmt w:val="bullet"/>
      <w:lvlText w:val=""/>
      <w:lvlJc w:val="left"/>
      <w:pPr>
        <w:ind w:left="4320" w:hanging="360"/>
      </w:pPr>
      <w:rPr>
        <w:rFonts w:ascii="Wingdings" w:hAnsi="Wingdings" w:hint="default"/>
      </w:rPr>
    </w:lvl>
    <w:lvl w:ilvl="6" w:tplc="4A74B6D2">
      <w:start w:val="1"/>
      <w:numFmt w:val="bullet"/>
      <w:lvlText w:val=""/>
      <w:lvlJc w:val="left"/>
      <w:pPr>
        <w:ind w:left="5040" w:hanging="360"/>
      </w:pPr>
      <w:rPr>
        <w:rFonts w:ascii="Symbol" w:hAnsi="Symbol" w:hint="default"/>
      </w:rPr>
    </w:lvl>
    <w:lvl w:ilvl="7" w:tplc="21C271AC">
      <w:start w:val="1"/>
      <w:numFmt w:val="bullet"/>
      <w:lvlText w:val="o"/>
      <w:lvlJc w:val="left"/>
      <w:pPr>
        <w:ind w:left="5760" w:hanging="360"/>
      </w:pPr>
      <w:rPr>
        <w:rFonts w:ascii="Courier New" w:hAnsi="Courier New" w:hint="default"/>
      </w:rPr>
    </w:lvl>
    <w:lvl w:ilvl="8" w:tplc="33665EBC">
      <w:start w:val="1"/>
      <w:numFmt w:val="bullet"/>
      <w:lvlText w:val=""/>
      <w:lvlJc w:val="left"/>
      <w:pPr>
        <w:ind w:left="6480" w:hanging="360"/>
      </w:pPr>
      <w:rPr>
        <w:rFonts w:ascii="Wingdings" w:hAnsi="Wingdings" w:hint="default"/>
      </w:rPr>
    </w:lvl>
  </w:abstractNum>
  <w:abstractNum w:abstractNumId="8" w15:restartNumberingAfterBreak="0">
    <w:nsid w:val="5FC0020B"/>
    <w:multiLevelType w:val="hybridMultilevel"/>
    <w:tmpl w:val="0414B44C"/>
    <w:lvl w:ilvl="0" w:tplc="4762E0DE">
      <w:start w:val="1"/>
      <w:numFmt w:val="bullet"/>
      <w:lvlText w:val=""/>
      <w:lvlJc w:val="left"/>
      <w:pPr>
        <w:ind w:left="720" w:hanging="360"/>
      </w:pPr>
      <w:rPr>
        <w:rFonts w:ascii="Symbol" w:hAnsi="Symbol" w:hint="default"/>
      </w:rPr>
    </w:lvl>
    <w:lvl w:ilvl="1" w:tplc="5E38FB74">
      <w:start w:val="1"/>
      <w:numFmt w:val="bullet"/>
      <w:lvlText w:val="o"/>
      <w:lvlJc w:val="left"/>
      <w:pPr>
        <w:ind w:left="1440" w:hanging="360"/>
      </w:pPr>
      <w:rPr>
        <w:rFonts w:ascii="Courier New" w:hAnsi="Courier New" w:hint="default"/>
      </w:rPr>
    </w:lvl>
    <w:lvl w:ilvl="2" w:tplc="261A12B0">
      <w:start w:val="1"/>
      <w:numFmt w:val="bullet"/>
      <w:lvlText w:val=""/>
      <w:lvlJc w:val="left"/>
      <w:pPr>
        <w:ind w:left="2160" w:hanging="360"/>
      </w:pPr>
      <w:rPr>
        <w:rFonts w:ascii="Wingdings" w:hAnsi="Wingdings" w:hint="default"/>
      </w:rPr>
    </w:lvl>
    <w:lvl w:ilvl="3" w:tplc="5BB498F6">
      <w:start w:val="1"/>
      <w:numFmt w:val="bullet"/>
      <w:lvlText w:val=""/>
      <w:lvlJc w:val="left"/>
      <w:pPr>
        <w:ind w:left="2880" w:hanging="360"/>
      </w:pPr>
      <w:rPr>
        <w:rFonts w:ascii="Symbol" w:hAnsi="Symbol" w:hint="default"/>
      </w:rPr>
    </w:lvl>
    <w:lvl w:ilvl="4" w:tplc="8708C080">
      <w:start w:val="1"/>
      <w:numFmt w:val="bullet"/>
      <w:lvlText w:val="o"/>
      <w:lvlJc w:val="left"/>
      <w:pPr>
        <w:ind w:left="3600" w:hanging="360"/>
      </w:pPr>
      <w:rPr>
        <w:rFonts w:ascii="Courier New" w:hAnsi="Courier New" w:hint="default"/>
      </w:rPr>
    </w:lvl>
    <w:lvl w:ilvl="5" w:tplc="86B4121C">
      <w:start w:val="1"/>
      <w:numFmt w:val="bullet"/>
      <w:lvlText w:val=""/>
      <w:lvlJc w:val="left"/>
      <w:pPr>
        <w:ind w:left="4320" w:hanging="360"/>
      </w:pPr>
      <w:rPr>
        <w:rFonts w:ascii="Wingdings" w:hAnsi="Wingdings" w:hint="default"/>
      </w:rPr>
    </w:lvl>
    <w:lvl w:ilvl="6" w:tplc="03FEA152">
      <w:start w:val="1"/>
      <w:numFmt w:val="bullet"/>
      <w:lvlText w:val=""/>
      <w:lvlJc w:val="left"/>
      <w:pPr>
        <w:ind w:left="5040" w:hanging="360"/>
      </w:pPr>
      <w:rPr>
        <w:rFonts w:ascii="Symbol" w:hAnsi="Symbol" w:hint="default"/>
      </w:rPr>
    </w:lvl>
    <w:lvl w:ilvl="7" w:tplc="687023CA">
      <w:start w:val="1"/>
      <w:numFmt w:val="bullet"/>
      <w:lvlText w:val="o"/>
      <w:lvlJc w:val="left"/>
      <w:pPr>
        <w:ind w:left="5760" w:hanging="360"/>
      </w:pPr>
      <w:rPr>
        <w:rFonts w:ascii="Courier New" w:hAnsi="Courier New" w:hint="default"/>
      </w:rPr>
    </w:lvl>
    <w:lvl w:ilvl="8" w:tplc="409CF720">
      <w:start w:val="1"/>
      <w:numFmt w:val="bullet"/>
      <w:lvlText w:val=""/>
      <w:lvlJc w:val="left"/>
      <w:pPr>
        <w:ind w:left="6480" w:hanging="360"/>
      </w:pPr>
      <w:rPr>
        <w:rFonts w:ascii="Wingdings" w:hAnsi="Wingdings" w:hint="default"/>
      </w:rPr>
    </w:lvl>
  </w:abstractNum>
  <w:num w:numId="1" w16cid:durableId="561521848">
    <w:abstractNumId w:val="7"/>
  </w:num>
  <w:num w:numId="2" w16cid:durableId="513034365">
    <w:abstractNumId w:val="8"/>
  </w:num>
  <w:num w:numId="3" w16cid:durableId="671564704">
    <w:abstractNumId w:val="5"/>
  </w:num>
  <w:num w:numId="4" w16cid:durableId="1818255273">
    <w:abstractNumId w:val="6"/>
  </w:num>
  <w:num w:numId="5" w16cid:durableId="42608949">
    <w:abstractNumId w:val="4"/>
  </w:num>
  <w:num w:numId="6" w16cid:durableId="1155103496">
    <w:abstractNumId w:val="3"/>
  </w:num>
  <w:num w:numId="7" w16cid:durableId="869148151">
    <w:abstractNumId w:val="2"/>
  </w:num>
  <w:num w:numId="8" w16cid:durableId="983893199">
    <w:abstractNumId w:val="1"/>
  </w:num>
  <w:num w:numId="9" w16cid:durableId="1786121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E1C"/>
    <w:rsid w:val="00002E34"/>
    <w:rsid w:val="000260A9"/>
    <w:rsid w:val="000B7024"/>
    <w:rsid w:val="000C215D"/>
    <w:rsid w:val="000C321B"/>
    <w:rsid w:val="001050D5"/>
    <w:rsid w:val="0013652A"/>
    <w:rsid w:val="00145D68"/>
    <w:rsid w:val="001476D0"/>
    <w:rsid w:val="00166CFC"/>
    <w:rsid w:val="001960E4"/>
    <w:rsid w:val="001A58E9"/>
    <w:rsid w:val="001B0C6F"/>
    <w:rsid w:val="001F31F6"/>
    <w:rsid w:val="0020390E"/>
    <w:rsid w:val="00240B38"/>
    <w:rsid w:val="00251688"/>
    <w:rsid w:val="002517EA"/>
    <w:rsid w:val="00274D9E"/>
    <w:rsid w:val="00290F0F"/>
    <w:rsid w:val="00292EF3"/>
    <w:rsid w:val="0029418F"/>
    <w:rsid w:val="003120E0"/>
    <w:rsid w:val="00321270"/>
    <w:rsid w:val="00321F35"/>
    <w:rsid w:val="0033460E"/>
    <w:rsid w:val="00356BB9"/>
    <w:rsid w:val="0038652D"/>
    <w:rsid w:val="00386800"/>
    <w:rsid w:val="00392E08"/>
    <w:rsid w:val="00393D6F"/>
    <w:rsid w:val="003C1FC0"/>
    <w:rsid w:val="003C3319"/>
    <w:rsid w:val="003C46A7"/>
    <w:rsid w:val="003C78CB"/>
    <w:rsid w:val="003D6565"/>
    <w:rsid w:val="004257E0"/>
    <w:rsid w:val="0044378E"/>
    <w:rsid w:val="004502DA"/>
    <w:rsid w:val="004537C5"/>
    <w:rsid w:val="00465B79"/>
    <w:rsid w:val="00473B05"/>
    <w:rsid w:val="00495301"/>
    <w:rsid w:val="004A234F"/>
    <w:rsid w:val="00504074"/>
    <w:rsid w:val="005235FF"/>
    <w:rsid w:val="00554FFA"/>
    <w:rsid w:val="005848AD"/>
    <w:rsid w:val="00587DBA"/>
    <w:rsid w:val="005A2C96"/>
    <w:rsid w:val="005A49E4"/>
    <w:rsid w:val="005C4039"/>
    <w:rsid w:val="005F4C34"/>
    <w:rsid w:val="005F61B2"/>
    <w:rsid w:val="00607D89"/>
    <w:rsid w:val="00610040"/>
    <w:rsid w:val="00631F6B"/>
    <w:rsid w:val="00667735"/>
    <w:rsid w:val="006B6619"/>
    <w:rsid w:val="006B7FF7"/>
    <w:rsid w:val="006D7E96"/>
    <w:rsid w:val="006E1492"/>
    <w:rsid w:val="00717354"/>
    <w:rsid w:val="00723158"/>
    <w:rsid w:val="007455C5"/>
    <w:rsid w:val="00781081"/>
    <w:rsid w:val="00785B50"/>
    <w:rsid w:val="00791ED5"/>
    <w:rsid w:val="00794F82"/>
    <w:rsid w:val="007A565D"/>
    <w:rsid w:val="007B57C2"/>
    <w:rsid w:val="008105F2"/>
    <w:rsid w:val="00813E52"/>
    <w:rsid w:val="0081578A"/>
    <w:rsid w:val="00825C42"/>
    <w:rsid w:val="008411EF"/>
    <w:rsid w:val="00842003"/>
    <w:rsid w:val="00872777"/>
    <w:rsid w:val="008A2200"/>
    <w:rsid w:val="008E3A9C"/>
    <w:rsid w:val="008E448C"/>
    <w:rsid w:val="00913758"/>
    <w:rsid w:val="00923E5C"/>
    <w:rsid w:val="0093672F"/>
    <w:rsid w:val="00974E1C"/>
    <w:rsid w:val="00995EAE"/>
    <w:rsid w:val="009C3F23"/>
    <w:rsid w:val="00A01BF8"/>
    <w:rsid w:val="00A01E26"/>
    <w:rsid w:val="00A1292C"/>
    <w:rsid w:val="00A14DE6"/>
    <w:rsid w:val="00A1749D"/>
    <w:rsid w:val="00A22F77"/>
    <w:rsid w:val="00A269E5"/>
    <w:rsid w:val="00A36711"/>
    <w:rsid w:val="00A45804"/>
    <w:rsid w:val="00A60984"/>
    <w:rsid w:val="00A653DA"/>
    <w:rsid w:val="00A87814"/>
    <w:rsid w:val="00AA224B"/>
    <w:rsid w:val="00AB2FD7"/>
    <w:rsid w:val="00AB739B"/>
    <w:rsid w:val="00AF1675"/>
    <w:rsid w:val="00B41BE0"/>
    <w:rsid w:val="00B42B3B"/>
    <w:rsid w:val="00B83AB0"/>
    <w:rsid w:val="00B90FED"/>
    <w:rsid w:val="00BA0F5B"/>
    <w:rsid w:val="00BB4CB0"/>
    <w:rsid w:val="00BE05B1"/>
    <w:rsid w:val="00BE36A4"/>
    <w:rsid w:val="00C12475"/>
    <w:rsid w:val="00C551F8"/>
    <w:rsid w:val="00C73764"/>
    <w:rsid w:val="00CA3293"/>
    <w:rsid w:val="00CA4D00"/>
    <w:rsid w:val="00CA5660"/>
    <w:rsid w:val="00CB4B76"/>
    <w:rsid w:val="00CC0778"/>
    <w:rsid w:val="00D05E23"/>
    <w:rsid w:val="00D11BC5"/>
    <w:rsid w:val="00D93BCC"/>
    <w:rsid w:val="00D9659E"/>
    <w:rsid w:val="00DA3872"/>
    <w:rsid w:val="00DB6653"/>
    <w:rsid w:val="00DC0B39"/>
    <w:rsid w:val="00DE1834"/>
    <w:rsid w:val="00DF3922"/>
    <w:rsid w:val="00DF625C"/>
    <w:rsid w:val="00E02929"/>
    <w:rsid w:val="00E06FC8"/>
    <w:rsid w:val="00E16F2B"/>
    <w:rsid w:val="00E219DC"/>
    <w:rsid w:val="00E30731"/>
    <w:rsid w:val="00E443B7"/>
    <w:rsid w:val="00E62C63"/>
    <w:rsid w:val="00E64456"/>
    <w:rsid w:val="00E663A0"/>
    <w:rsid w:val="00E7072B"/>
    <w:rsid w:val="00EA7D5B"/>
    <w:rsid w:val="00EC0CF1"/>
    <w:rsid w:val="00EC1F4E"/>
    <w:rsid w:val="00ED333F"/>
    <w:rsid w:val="00F06320"/>
    <w:rsid w:val="00F0767F"/>
    <w:rsid w:val="00F23249"/>
    <w:rsid w:val="00F30471"/>
    <w:rsid w:val="00FD3E75"/>
    <w:rsid w:val="00FE08F3"/>
    <w:rsid w:val="00FF0D00"/>
    <w:rsid w:val="00FF7EBE"/>
    <w:rsid w:val="04096D1E"/>
    <w:rsid w:val="068FB226"/>
    <w:rsid w:val="0704364D"/>
    <w:rsid w:val="076C44FA"/>
    <w:rsid w:val="07895DD3"/>
    <w:rsid w:val="07D905F0"/>
    <w:rsid w:val="09C752E8"/>
    <w:rsid w:val="0ACE48F0"/>
    <w:rsid w:val="0BC861C9"/>
    <w:rsid w:val="0BFCE72F"/>
    <w:rsid w:val="0CFEF3AA"/>
    <w:rsid w:val="0D5DDC44"/>
    <w:rsid w:val="0ECAA3B5"/>
    <w:rsid w:val="0ED186A2"/>
    <w:rsid w:val="110DCA6B"/>
    <w:rsid w:val="117D90BF"/>
    <w:rsid w:val="11ED1CB8"/>
    <w:rsid w:val="12C03278"/>
    <w:rsid w:val="12CBA8C5"/>
    <w:rsid w:val="14B6637F"/>
    <w:rsid w:val="15949174"/>
    <w:rsid w:val="16724CA9"/>
    <w:rsid w:val="16913682"/>
    <w:rsid w:val="16DA5B56"/>
    <w:rsid w:val="188DBC74"/>
    <w:rsid w:val="18E09536"/>
    <w:rsid w:val="19DF0640"/>
    <w:rsid w:val="1B3AB0A2"/>
    <w:rsid w:val="1C61B7E9"/>
    <w:rsid w:val="1DFD884A"/>
    <w:rsid w:val="20ECD919"/>
    <w:rsid w:val="2135290C"/>
    <w:rsid w:val="21DFC72B"/>
    <w:rsid w:val="2474B754"/>
    <w:rsid w:val="25F509FD"/>
    <w:rsid w:val="2621C28C"/>
    <w:rsid w:val="26F6D506"/>
    <w:rsid w:val="26FC5D22"/>
    <w:rsid w:val="270FFD63"/>
    <w:rsid w:val="274E7325"/>
    <w:rsid w:val="27FBD2D0"/>
    <w:rsid w:val="288A5743"/>
    <w:rsid w:val="28BB4233"/>
    <w:rsid w:val="2A7A9302"/>
    <w:rsid w:val="2ACE3512"/>
    <w:rsid w:val="2C77DBB3"/>
    <w:rsid w:val="2E6F4DCC"/>
    <w:rsid w:val="2F2A83B7"/>
    <w:rsid w:val="308863C0"/>
    <w:rsid w:val="30B089C3"/>
    <w:rsid w:val="30E8A288"/>
    <w:rsid w:val="3217C4E5"/>
    <w:rsid w:val="324900D8"/>
    <w:rsid w:val="335528B6"/>
    <w:rsid w:val="33DAE02A"/>
    <w:rsid w:val="346FFF76"/>
    <w:rsid w:val="34F0F917"/>
    <w:rsid w:val="368CC978"/>
    <w:rsid w:val="382899D9"/>
    <w:rsid w:val="396B2DEC"/>
    <w:rsid w:val="39873898"/>
    <w:rsid w:val="3A232311"/>
    <w:rsid w:val="3B306EFF"/>
    <w:rsid w:val="3BC37C61"/>
    <w:rsid w:val="3BD9AE39"/>
    <w:rsid w:val="3F0C57FA"/>
    <w:rsid w:val="3F8C5D06"/>
    <w:rsid w:val="41C62649"/>
    <w:rsid w:val="41DA92E6"/>
    <w:rsid w:val="4248ECE1"/>
    <w:rsid w:val="42D0E58F"/>
    <w:rsid w:val="46ACD20B"/>
    <w:rsid w:val="471CC6B4"/>
    <w:rsid w:val="47D87771"/>
    <w:rsid w:val="47FCB079"/>
    <w:rsid w:val="48991D4E"/>
    <w:rsid w:val="48DDD9E2"/>
    <w:rsid w:val="499F0FAD"/>
    <w:rsid w:val="49B2AFEE"/>
    <w:rsid w:val="49E5A4CB"/>
    <w:rsid w:val="4AE24D5A"/>
    <w:rsid w:val="4B482A69"/>
    <w:rsid w:val="4C9FCA1B"/>
    <w:rsid w:val="4D8172E8"/>
    <w:rsid w:val="4D86AB63"/>
    <w:rsid w:val="4F67B01C"/>
    <w:rsid w:val="50163EB7"/>
    <w:rsid w:val="50A523C8"/>
    <w:rsid w:val="51EC2BAE"/>
    <w:rsid w:val="52F690E5"/>
    <w:rsid w:val="533A13F1"/>
    <w:rsid w:val="5370F429"/>
    <w:rsid w:val="544214DF"/>
    <w:rsid w:val="547BC99A"/>
    <w:rsid w:val="550CC48A"/>
    <w:rsid w:val="552F12FA"/>
    <w:rsid w:val="553CBA72"/>
    <w:rsid w:val="55ED5E05"/>
    <w:rsid w:val="562CED87"/>
    <w:rsid w:val="56EA4039"/>
    <w:rsid w:val="57AA434E"/>
    <w:rsid w:val="59AFAB5B"/>
    <w:rsid w:val="59BEBC1E"/>
    <w:rsid w:val="5B79E597"/>
    <w:rsid w:val="5C1DC82E"/>
    <w:rsid w:val="5F2D067F"/>
    <w:rsid w:val="6072F79F"/>
    <w:rsid w:val="60AD7152"/>
    <w:rsid w:val="6100AAB2"/>
    <w:rsid w:val="625717F3"/>
    <w:rsid w:val="6380FB6D"/>
    <w:rsid w:val="655B7461"/>
    <w:rsid w:val="656FD666"/>
    <w:rsid w:val="65DFCB0F"/>
    <w:rsid w:val="66581874"/>
    <w:rsid w:val="6724A05C"/>
    <w:rsid w:val="67376AC1"/>
    <w:rsid w:val="68A77728"/>
    <w:rsid w:val="6B6890ED"/>
    <w:rsid w:val="6D04614E"/>
    <w:rsid w:val="6D204E45"/>
    <w:rsid w:val="6DDAA5C6"/>
    <w:rsid w:val="6F815080"/>
    <w:rsid w:val="6FB2519B"/>
    <w:rsid w:val="6FCA7554"/>
    <w:rsid w:val="70025F51"/>
    <w:rsid w:val="70E63A8D"/>
    <w:rsid w:val="71C52E4F"/>
    <w:rsid w:val="72675303"/>
    <w:rsid w:val="72FE5462"/>
    <w:rsid w:val="73D94C15"/>
    <w:rsid w:val="741DDB4F"/>
    <w:rsid w:val="74565CC4"/>
    <w:rsid w:val="7477D653"/>
    <w:rsid w:val="74FCCF11"/>
    <w:rsid w:val="756C6F2D"/>
    <w:rsid w:val="75D769A7"/>
    <w:rsid w:val="76CE32A3"/>
    <w:rsid w:val="773AC426"/>
    <w:rsid w:val="77AF7715"/>
    <w:rsid w:val="79BF055D"/>
    <w:rsid w:val="7A21528E"/>
    <w:rsid w:val="7C69BFDB"/>
    <w:rsid w:val="7D58F350"/>
    <w:rsid w:val="7DAC42DB"/>
    <w:rsid w:val="7E05903C"/>
    <w:rsid w:val="7EE1F13A"/>
    <w:rsid w:val="7F863973"/>
    <w:rsid w:val="7FF31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8172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251688"/>
    <w:rPr>
      <w:color w:val="auto"/>
      <w:kern w:val="20"/>
    </w:rPr>
  </w:style>
  <w:style w:type="paragraph" w:styleId="Heading1">
    <w:name w:val="heading 1"/>
    <w:basedOn w:val="Normal"/>
    <w:link w:val="Heading1Char"/>
    <w:uiPriority w:val="2"/>
    <w:qFormat/>
    <w:rsid w:val="001960E4"/>
    <w:pPr>
      <w:spacing w:before="0" w:after="60"/>
      <w:contextualSpacing/>
      <w:outlineLvl w:val="0"/>
    </w:pPr>
    <w:rPr>
      <w:rFonts w:asciiTheme="majorHAnsi" w:eastAsiaTheme="majorEastAsia" w:hAnsiTheme="majorHAnsi" w:cstheme="majorBidi"/>
      <w:b/>
      <w:caps/>
      <w:color w:val="006666" w:themeColor="accent3"/>
      <w:sz w:val="24"/>
      <w:szCs w:val="32"/>
    </w:rPr>
  </w:style>
  <w:style w:type="paragraph" w:styleId="Heading2">
    <w:name w:val="heading 2"/>
    <w:basedOn w:val="Normal"/>
    <w:link w:val="Heading2Char"/>
    <w:uiPriority w:val="3"/>
    <w:unhideWhenUsed/>
    <w:qFormat/>
    <w:rsid w:val="001A58E9"/>
    <w:pPr>
      <w:keepNext/>
      <w:keepLines/>
      <w:spacing w:after="0"/>
      <w:outlineLvl w:val="1"/>
    </w:pPr>
    <w:rPr>
      <w:rFonts w:eastAsiaTheme="majorEastAsia" w:cstheme="majorBidi"/>
      <w:caps/>
      <w:color w:val="FFFFFF" w:themeColor="background1"/>
      <w:szCs w:val="26"/>
    </w:rPr>
  </w:style>
  <w:style w:type="paragraph" w:styleId="Heading3">
    <w:name w:val="heading 3"/>
    <w:basedOn w:val="Normal"/>
    <w:next w:val="Normal"/>
    <w:link w:val="Heading3Char"/>
    <w:uiPriority w:val="3"/>
    <w:unhideWhenUsed/>
    <w:qFormat/>
    <w:rsid w:val="00C12475"/>
    <w:pPr>
      <w:keepNext/>
      <w:keepLines/>
      <w:spacing w:after="0"/>
      <w:outlineLvl w:val="2"/>
    </w:pPr>
    <w:rPr>
      <w:rFonts w:asciiTheme="majorHAnsi" w:eastAsiaTheme="majorEastAsia" w:hAnsiTheme="majorHAnsi" w:cstheme="majorBidi"/>
      <w:b/>
      <w:i/>
      <w:color w:val="654C16" w:themeColor="accent5" w:themeShade="80"/>
      <w:sz w:val="22"/>
      <w:szCs w:val="24"/>
    </w:rPr>
  </w:style>
  <w:style w:type="paragraph" w:styleId="Heading4">
    <w:name w:val="heading 4"/>
    <w:basedOn w:val="Normal"/>
    <w:next w:val="Normal"/>
    <w:link w:val="Heading4Char"/>
    <w:uiPriority w:val="3"/>
    <w:semiHidden/>
    <w:unhideWhenUsed/>
    <w:qFormat/>
    <w:rsid w:val="00C12475"/>
    <w:pPr>
      <w:keepNext/>
      <w:keepLines/>
      <w:spacing w:after="0"/>
      <w:outlineLvl w:val="3"/>
    </w:pPr>
    <w:rPr>
      <w:rFonts w:asciiTheme="majorHAnsi" w:eastAsiaTheme="majorEastAsia" w:hAnsiTheme="majorHAnsi" w:cstheme="majorBidi"/>
      <w:b/>
      <w:i/>
      <w:iCs/>
      <w:color w:val="4F4A36" w:themeColor="accent6" w:themeShade="80"/>
      <w:sz w:val="22"/>
    </w:rPr>
  </w:style>
  <w:style w:type="paragraph" w:styleId="Heading5">
    <w:name w:val="heading 5"/>
    <w:basedOn w:val="Normal"/>
    <w:next w:val="Normal"/>
    <w:link w:val="Heading5Char"/>
    <w:uiPriority w:val="3"/>
    <w:semiHidden/>
    <w:unhideWhenUsed/>
    <w:qFormat/>
    <w:rsid w:val="00C12475"/>
    <w:pPr>
      <w:keepNext/>
      <w:keepLines/>
      <w:spacing w:after="0"/>
      <w:outlineLvl w:val="4"/>
    </w:pPr>
    <w:rPr>
      <w:rFonts w:asciiTheme="majorHAnsi" w:eastAsiaTheme="majorEastAsia" w:hAnsiTheme="majorHAnsi" w:cstheme="majorBidi"/>
      <w:b/>
      <w:color w:val="726FCE" w:themeColor="text2" w:themeTint="80"/>
      <w:sz w:val="22"/>
    </w:rPr>
  </w:style>
  <w:style w:type="paragraph" w:styleId="Heading6">
    <w:name w:val="heading 6"/>
    <w:basedOn w:val="Normal"/>
    <w:next w:val="Normal"/>
    <w:link w:val="Heading6Char"/>
    <w:uiPriority w:val="3"/>
    <w:semiHidden/>
    <w:unhideWhenUsed/>
    <w:qFormat/>
    <w:rsid w:val="00C12475"/>
    <w:pPr>
      <w:keepNext/>
      <w:keepLines/>
      <w:spacing w:after="0"/>
      <w:outlineLvl w:val="5"/>
    </w:pPr>
    <w:rPr>
      <w:rFonts w:asciiTheme="majorHAnsi" w:eastAsiaTheme="majorEastAsia" w:hAnsiTheme="majorHAnsi" w:cstheme="majorBidi"/>
      <w:color w:val="577188" w:themeColor="accent1" w:themeShade="BF"/>
      <w:sz w:val="22"/>
    </w:rPr>
  </w:style>
  <w:style w:type="paragraph" w:styleId="Heading7">
    <w:name w:val="heading 7"/>
    <w:basedOn w:val="Normal"/>
    <w:next w:val="Normal"/>
    <w:link w:val="Heading7Char"/>
    <w:uiPriority w:val="3"/>
    <w:semiHidden/>
    <w:unhideWhenUsed/>
    <w:qFormat/>
    <w:rsid w:val="00C12475"/>
    <w:pPr>
      <w:keepNext/>
      <w:keepLines/>
      <w:spacing w:after="0"/>
      <w:outlineLvl w:val="6"/>
    </w:pPr>
    <w:rPr>
      <w:rFonts w:asciiTheme="majorHAnsi" w:eastAsiaTheme="majorEastAsia" w:hAnsiTheme="majorHAnsi" w:cstheme="majorBidi"/>
      <w:iCs/>
      <w:color w:val="404040" w:themeColor="text1" w:themeTint="BF"/>
      <w:sz w:val="22"/>
    </w:rPr>
  </w:style>
  <w:style w:type="paragraph" w:styleId="Heading8">
    <w:name w:val="heading 8"/>
    <w:basedOn w:val="Normal"/>
    <w:next w:val="Normal"/>
    <w:link w:val="Heading8Char"/>
    <w:uiPriority w:val="3"/>
    <w:semiHidden/>
    <w:unhideWhenUsed/>
    <w:qFormat/>
    <w:rsid w:val="00C12475"/>
    <w:pPr>
      <w:keepNext/>
      <w:keepLines/>
      <w:spacing w:after="0"/>
      <w:outlineLvl w:val="7"/>
    </w:pPr>
    <w:rPr>
      <w:rFonts w:asciiTheme="majorHAnsi" w:eastAsiaTheme="majorEastAsia" w:hAnsiTheme="majorHAnsi" w:cstheme="majorBidi"/>
      <w:b/>
      <w:i/>
      <w:color w:val="272727" w:themeColor="text1" w:themeTint="D8"/>
      <w:sz w:val="22"/>
      <w:szCs w:val="21"/>
    </w:rPr>
  </w:style>
  <w:style w:type="paragraph" w:styleId="Heading9">
    <w:name w:val="heading 9"/>
    <w:basedOn w:val="Normal"/>
    <w:next w:val="Normal"/>
    <w:link w:val="Heading9Char"/>
    <w:uiPriority w:val="3"/>
    <w:semiHidden/>
    <w:unhideWhenUsed/>
    <w:qFormat/>
    <w:rsid w:val="00C12475"/>
    <w:pPr>
      <w:keepNext/>
      <w:keepLines/>
      <w:spacing w:after="0"/>
      <w:outlineLvl w:val="8"/>
    </w:pPr>
    <w:rPr>
      <w:rFonts w:asciiTheme="majorHAnsi" w:eastAsiaTheme="majorEastAsia" w:hAnsiTheme="majorHAnsi" w:cstheme="majorBidi"/>
      <w:i/>
      <w:iCs/>
      <w:color w:val="0D0D0D" w:themeColor="text1" w:themeTint="F2"/>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B90FED"/>
    <w:pPr>
      <w:spacing w:before="400" w:after="160"/>
      <w:contextualSpacing/>
      <w:jc w:val="center"/>
    </w:pPr>
    <w:rPr>
      <w:rFonts w:asciiTheme="majorHAnsi" w:eastAsiaTheme="majorEastAsia" w:hAnsiTheme="majorHAnsi" w:cstheme="majorBidi"/>
      <w:caps/>
      <w:color w:val="006666" w:themeColor="accent3"/>
      <w:kern w:val="28"/>
      <w:sz w:val="72"/>
      <w:szCs w:val="56"/>
    </w:rPr>
  </w:style>
  <w:style w:type="character" w:customStyle="1" w:styleId="TitleChar">
    <w:name w:val="Title Char"/>
    <w:basedOn w:val="DefaultParagraphFont"/>
    <w:link w:val="Title"/>
    <w:uiPriority w:val="1"/>
    <w:rsid w:val="00B90FED"/>
    <w:rPr>
      <w:rFonts w:asciiTheme="majorHAnsi" w:eastAsiaTheme="majorEastAsia" w:hAnsiTheme="majorHAnsi" w:cstheme="majorBidi"/>
      <w:caps/>
      <w:color w:val="006666" w:themeColor="accent3"/>
      <w:kern w:val="28"/>
      <w:sz w:val="72"/>
      <w:szCs w:val="56"/>
    </w:rPr>
  </w:style>
  <w:style w:type="paragraph" w:styleId="Subtitle">
    <w:name w:val="Subtitle"/>
    <w:basedOn w:val="Normal"/>
    <w:link w:val="SubtitleChar"/>
    <w:uiPriority w:val="11"/>
    <w:semiHidden/>
    <w:unhideWhenUsed/>
    <w:qFormat/>
    <w:rsid w:val="008E3A9C"/>
    <w:pPr>
      <w:numPr>
        <w:ilvl w:val="1"/>
      </w:numPr>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8E3A9C"/>
    <w:rPr>
      <w:rFonts w:eastAsiaTheme="minorEastAsia"/>
      <w:color w:val="5A5A5A" w:themeColor="text1" w:themeTint="A5"/>
      <w:kern w:val="20"/>
    </w:rPr>
  </w:style>
  <w:style w:type="paragraph" w:styleId="Header">
    <w:name w:val="header"/>
    <w:basedOn w:val="Normal"/>
    <w:link w:val="HeaderChar"/>
    <w:uiPriority w:val="99"/>
    <w:rsid w:val="00145D68"/>
  </w:style>
  <w:style w:type="character" w:customStyle="1" w:styleId="HeaderChar">
    <w:name w:val="Header Char"/>
    <w:basedOn w:val="DefaultParagraphFont"/>
    <w:link w:val="Header"/>
    <w:uiPriority w:val="99"/>
    <w:rsid w:val="00145D68"/>
    <w:rPr>
      <w:kern w:val="20"/>
    </w:rPr>
  </w:style>
  <w:style w:type="paragraph" w:styleId="Footer">
    <w:name w:val="footer"/>
    <w:basedOn w:val="Normal"/>
    <w:link w:val="FooterChar"/>
    <w:uiPriority w:val="6"/>
    <w:unhideWhenUsed/>
    <w:rsid w:val="008E3A9C"/>
    <w:pPr>
      <w:pBdr>
        <w:top w:val="single" w:sz="4" w:space="6" w:color="B1C0CD" w:themeColor="accent1" w:themeTint="99"/>
      </w:pBdr>
      <w:spacing w:after="0"/>
    </w:pPr>
  </w:style>
  <w:style w:type="character" w:customStyle="1" w:styleId="FooterChar">
    <w:name w:val="Footer Char"/>
    <w:basedOn w:val="DefaultParagraphFont"/>
    <w:link w:val="Footer"/>
    <w:uiPriority w:val="6"/>
    <w:rsid w:val="008E3A9C"/>
    <w:rPr>
      <w:kern w:val="20"/>
    </w:rPr>
  </w:style>
  <w:style w:type="table" w:styleId="TableGrid">
    <w:name w:val="Table Grid"/>
    <w:basedOn w:val="TableNormal"/>
    <w:uiPriority w:val="39"/>
    <w:rsid w:val="00E0292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2"/>
    <w:rsid w:val="001960E4"/>
    <w:rPr>
      <w:rFonts w:asciiTheme="majorHAnsi" w:eastAsiaTheme="majorEastAsia" w:hAnsiTheme="majorHAnsi" w:cstheme="majorBidi"/>
      <w:b/>
      <w:caps/>
      <w:color w:val="006666" w:themeColor="accent3"/>
      <w:kern w:val="20"/>
      <w:sz w:val="24"/>
      <w:szCs w:val="32"/>
    </w:rPr>
  </w:style>
  <w:style w:type="table" w:customStyle="1" w:styleId="StatusReportTable">
    <w:name w:val="Status Report Table"/>
    <w:basedOn w:val="TableNormal"/>
    <w:uiPriority w:val="99"/>
    <w:rsid w:val="004257E0"/>
    <w:rPr>
      <w:color w:val="FFFFFF" w:themeColor="background1"/>
    </w:rPr>
    <w:tblPr>
      <w:tblBorders>
        <w:insideH w:val="single" w:sz="12" w:space="0" w:color="FFFFFF" w:themeColor="background1"/>
        <w:insideV w:val="single" w:sz="12" w:space="0" w:color="FFFFFF" w:themeColor="background1"/>
      </w:tblBorders>
    </w:tblPr>
    <w:tcPr>
      <w:shd w:val="clear" w:color="auto" w:fill="E5EAEE" w:themeFill="accent1" w:themeFillTint="33"/>
    </w:tcPr>
    <w:tblStylePr w:type="firstRow">
      <w:pPr>
        <w:jc w:val="left"/>
      </w:pPr>
      <w:rPr>
        <w:rFonts w:asciiTheme="majorHAnsi" w:hAnsiTheme="majorHAnsi"/>
        <w:b w:val="0"/>
        <w:i w:val="0"/>
        <w:caps w:val="0"/>
        <w:smallCaps w:val="0"/>
        <w:color w:val="FFFFFF" w:themeColor="background1"/>
        <w:sz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006666" w:themeFill="accent3"/>
      </w:tcPr>
    </w:tblStylePr>
  </w:style>
  <w:style w:type="paragraph" w:styleId="BalloonText">
    <w:name w:val="Balloon Text"/>
    <w:basedOn w:val="Normal"/>
    <w:link w:val="BalloonTextChar"/>
    <w:uiPriority w:val="99"/>
    <w:semiHidden/>
    <w:unhideWhenUsed/>
    <w:rsid w:val="00CA329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293"/>
    <w:rPr>
      <w:rFonts w:ascii="Segoe UI" w:hAnsi="Segoe UI" w:cs="Segoe UI"/>
      <w:sz w:val="18"/>
      <w:szCs w:val="18"/>
    </w:rPr>
  </w:style>
  <w:style w:type="character" w:styleId="Strong">
    <w:name w:val="Strong"/>
    <w:basedOn w:val="DefaultParagraphFont"/>
    <w:uiPriority w:val="4"/>
    <w:qFormat/>
    <w:rsid w:val="00B90FED"/>
    <w:rPr>
      <w:rFonts w:asciiTheme="majorHAnsi" w:hAnsiTheme="majorHAnsi"/>
      <w:b/>
      <w:bCs/>
      <w:color w:val="FEDE00" w:themeColor="accent2"/>
      <w:sz w:val="24"/>
    </w:rPr>
  </w:style>
  <w:style w:type="character" w:customStyle="1" w:styleId="Heading2Char">
    <w:name w:val="Heading 2 Char"/>
    <w:basedOn w:val="DefaultParagraphFont"/>
    <w:link w:val="Heading2"/>
    <w:uiPriority w:val="3"/>
    <w:rsid w:val="001A58E9"/>
    <w:rPr>
      <w:rFonts w:eastAsiaTheme="majorEastAsia" w:cstheme="majorBidi"/>
      <w:caps/>
      <w:color w:val="FFFFFF" w:themeColor="background1"/>
      <w:kern w:val="20"/>
      <w:szCs w:val="26"/>
    </w:rPr>
  </w:style>
  <w:style w:type="paragraph" w:customStyle="1" w:styleId="Graphic">
    <w:name w:val="Graphic"/>
    <w:basedOn w:val="Normal"/>
    <w:uiPriority w:val="5"/>
    <w:qFormat/>
    <w:rsid w:val="00BB4CB0"/>
    <w:pPr>
      <w:spacing w:after="0"/>
      <w:ind w:right="14"/>
      <w:jc w:val="right"/>
    </w:pPr>
    <w:rPr>
      <w:noProof/>
    </w:rPr>
  </w:style>
  <w:style w:type="character" w:styleId="PlaceholderText">
    <w:name w:val="Placeholder Text"/>
    <w:basedOn w:val="DefaultParagraphFont"/>
    <w:uiPriority w:val="99"/>
    <w:semiHidden/>
    <w:rsid w:val="003C1FC0"/>
    <w:rPr>
      <w:color w:val="808080"/>
    </w:rPr>
  </w:style>
  <w:style w:type="paragraph" w:styleId="TOCHeading">
    <w:name w:val="TOC Heading"/>
    <w:basedOn w:val="Heading1"/>
    <w:next w:val="Normal"/>
    <w:uiPriority w:val="39"/>
    <w:semiHidden/>
    <w:unhideWhenUsed/>
    <w:qFormat/>
    <w:rsid w:val="00C73764"/>
    <w:pPr>
      <w:pBdr>
        <w:top w:val="single" w:sz="4" w:space="1" w:color="7E97AD" w:themeColor="accent1"/>
        <w:left w:val="single" w:sz="4" w:space="4" w:color="7E97AD" w:themeColor="accent1"/>
        <w:bottom w:val="single" w:sz="4" w:space="1" w:color="7E97AD" w:themeColor="accent1"/>
        <w:right w:val="single" w:sz="4" w:space="4" w:color="7E97AD" w:themeColor="accent1"/>
      </w:pBdr>
    </w:pPr>
  </w:style>
  <w:style w:type="character" w:customStyle="1" w:styleId="Heading3Char">
    <w:name w:val="Heading 3 Char"/>
    <w:basedOn w:val="DefaultParagraphFont"/>
    <w:link w:val="Heading3"/>
    <w:uiPriority w:val="3"/>
    <w:rsid w:val="00C12475"/>
    <w:rPr>
      <w:rFonts w:asciiTheme="majorHAnsi" w:eastAsiaTheme="majorEastAsia" w:hAnsiTheme="majorHAnsi" w:cstheme="majorBidi"/>
      <w:b/>
      <w:i/>
      <w:color w:val="654C16" w:themeColor="accent5" w:themeShade="80"/>
      <w:kern w:val="20"/>
      <w:sz w:val="22"/>
      <w:szCs w:val="24"/>
    </w:rPr>
  </w:style>
  <w:style w:type="character" w:customStyle="1" w:styleId="Heading4Char">
    <w:name w:val="Heading 4 Char"/>
    <w:basedOn w:val="DefaultParagraphFont"/>
    <w:link w:val="Heading4"/>
    <w:uiPriority w:val="3"/>
    <w:semiHidden/>
    <w:rsid w:val="00C12475"/>
    <w:rPr>
      <w:rFonts w:asciiTheme="majorHAnsi" w:eastAsiaTheme="majorEastAsia" w:hAnsiTheme="majorHAnsi" w:cstheme="majorBidi"/>
      <w:b/>
      <w:i/>
      <w:iCs/>
      <w:color w:val="4F4A36" w:themeColor="accent6" w:themeShade="80"/>
      <w:kern w:val="20"/>
      <w:sz w:val="22"/>
    </w:rPr>
  </w:style>
  <w:style w:type="character" w:customStyle="1" w:styleId="Heading5Char">
    <w:name w:val="Heading 5 Char"/>
    <w:basedOn w:val="DefaultParagraphFont"/>
    <w:link w:val="Heading5"/>
    <w:uiPriority w:val="3"/>
    <w:semiHidden/>
    <w:rsid w:val="00C12475"/>
    <w:rPr>
      <w:rFonts w:asciiTheme="majorHAnsi" w:eastAsiaTheme="majorEastAsia" w:hAnsiTheme="majorHAnsi" w:cstheme="majorBidi"/>
      <w:b/>
      <w:color w:val="726FCE" w:themeColor="text2" w:themeTint="80"/>
      <w:kern w:val="20"/>
      <w:sz w:val="22"/>
    </w:rPr>
  </w:style>
  <w:style w:type="character" w:customStyle="1" w:styleId="Heading6Char">
    <w:name w:val="Heading 6 Char"/>
    <w:basedOn w:val="DefaultParagraphFont"/>
    <w:link w:val="Heading6"/>
    <w:uiPriority w:val="3"/>
    <w:semiHidden/>
    <w:rsid w:val="00C12475"/>
    <w:rPr>
      <w:rFonts w:asciiTheme="majorHAnsi" w:eastAsiaTheme="majorEastAsia" w:hAnsiTheme="majorHAnsi" w:cstheme="majorBidi"/>
      <w:color w:val="577188" w:themeColor="accent1" w:themeShade="BF"/>
      <w:kern w:val="20"/>
      <w:sz w:val="22"/>
    </w:rPr>
  </w:style>
  <w:style w:type="character" w:customStyle="1" w:styleId="Heading7Char">
    <w:name w:val="Heading 7 Char"/>
    <w:basedOn w:val="DefaultParagraphFont"/>
    <w:link w:val="Heading7"/>
    <w:uiPriority w:val="3"/>
    <w:semiHidden/>
    <w:rsid w:val="00C12475"/>
    <w:rPr>
      <w:rFonts w:asciiTheme="majorHAnsi" w:eastAsiaTheme="majorEastAsia" w:hAnsiTheme="majorHAnsi" w:cstheme="majorBidi"/>
      <w:iCs/>
      <w:color w:val="404040" w:themeColor="text1" w:themeTint="BF"/>
      <w:kern w:val="20"/>
      <w:sz w:val="22"/>
    </w:rPr>
  </w:style>
  <w:style w:type="character" w:customStyle="1" w:styleId="Heading8Char">
    <w:name w:val="Heading 8 Char"/>
    <w:basedOn w:val="DefaultParagraphFont"/>
    <w:link w:val="Heading8"/>
    <w:uiPriority w:val="3"/>
    <w:semiHidden/>
    <w:rsid w:val="00C12475"/>
    <w:rPr>
      <w:rFonts w:asciiTheme="majorHAnsi" w:eastAsiaTheme="majorEastAsia" w:hAnsiTheme="majorHAnsi" w:cstheme="majorBidi"/>
      <w:b/>
      <w:i/>
      <w:color w:val="272727" w:themeColor="text1" w:themeTint="D8"/>
      <w:kern w:val="20"/>
      <w:sz w:val="22"/>
      <w:szCs w:val="21"/>
    </w:rPr>
  </w:style>
  <w:style w:type="character" w:customStyle="1" w:styleId="Heading9Char">
    <w:name w:val="Heading 9 Char"/>
    <w:basedOn w:val="DefaultParagraphFont"/>
    <w:link w:val="Heading9"/>
    <w:uiPriority w:val="3"/>
    <w:semiHidden/>
    <w:rsid w:val="00C12475"/>
    <w:rPr>
      <w:rFonts w:asciiTheme="majorHAnsi" w:eastAsiaTheme="majorEastAsia" w:hAnsiTheme="majorHAnsi" w:cstheme="majorBidi"/>
      <w:i/>
      <w:iCs/>
      <w:color w:val="0D0D0D" w:themeColor="text1" w:themeTint="F2"/>
      <w:kern w:val="20"/>
      <w:sz w:val="22"/>
      <w:szCs w:val="21"/>
    </w:rPr>
  </w:style>
  <w:style w:type="paragraph" w:styleId="Quote">
    <w:name w:val="Quote"/>
    <w:basedOn w:val="Normal"/>
    <w:next w:val="Normal"/>
    <w:link w:val="QuoteChar"/>
    <w:uiPriority w:val="29"/>
    <w:semiHidden/>
    <w:unhideWhenUsed/>
    <w:qFormat/>
    <w:rsid w:val="008E3A9C"/>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8E3A9C"/>
    <w:rPr>
      <w:i/>
      <w:iCs/>
      <w:color w:val="404040" w:themeColor="text1" w:themeTint="BF"/>
      <w:kern w:val="20"/>
    </w:rPr>
  </w:style>
  <w:style w:type="paragraph" w:styleId="IntenseQuote">
    <w:name w:val="Intense Quote"/>
    <w:basedOn w:val="Normal"/>
    <w:next w:val="Normal"/>
    <w:link w:val="IntenseQuoteChar"/>
    <w:uiPriority w:val="30"/>
    <w:semiHidden/>
    <w:unhideWhenUsed/>
    <w:qFormat/>
    <w:rsid w:val="008E3A9C"/>
    <w:pPr>
      <w:pBdr>
        <w:top w:val="single" w:sz="4" w:space="10" w:color="7E97AD" w:themeColor="accent1"/>
        <w:bottom w:val="single" w:sz="4" w:space="10" w:color="7E97AD" w:themeColor="accent1"/>
      </w:pBdr>
      <w:spacing w:before="360" w:after="360"/>
      <w:jc w:val="center"/>
    </w:pPr>
    <w:rPr>
      <w:i/>
      <w:iCs/>
      <w:color w:val="7E97AD" w:themeColor="accent1"/>
    </w:rPr>
  </w:style>
  <w:style w:type="character" w:customStyle="1" w:styleId="IntenseQuoteChar">
    <w:name w:val="Intense Quote Char"/>
    <w:basedOn w:val="DefaultParagraphFont"/>
    <w:link w:val="IntenseQuote"/>
    <w:uiPriority w:val="30"/>
    <w:semiHidden/>
    <w:rsid w:val="008E3A9C"/>
    <w:rPr>
      <w:i/>
      <w:iCs/>
      <w:color w:val="7E97AD" w:themeColor="accent1"/>
      <w:kern w:val="20"/>
    </w:rPr>
  </w:style>
  <w:style w:type="character" w:styleId="BookTitle">
    <w:name w:val="Book Title"/>
    <w:basedOn w:val="DefaultParagraphFont"/>
    <w:uiPriority w:val="33"/>
    <w:semiHidden/>
    <w:unhideWhenUsed/>
    <w:qFormat/>
    <w:rsid w:val="008E3A9C"/>
    <w:rPr>
      <w:b/>
      <w:bCs/>
      <w:i/>
      <w:iCs/>
      <w:spacing w:val="0"/>
    </w:rPr>
  </w:style>
  <w:style w:type="character" w:styleId="IntenseReference">
    <w:name w:val="Intense Reference"/>
    <w:basedOn w:val="DefaultParagraphFont"/>
    <w:uiPriority w:val="32"/>
    <w:semiHidden/>
    <w:unhideWhenUsed/>
    <w:qFormat/>
    <w:rsid w:val="008E3A9C"/>
    <w:rPr>
      <w:b/>
      <w:bCs/>
      <w:caps w:val="0"/>
      <w:smallCaps/>
      <w:color w:val="7E97AD" w:themeColor="accent1"/>
      <w:spacing w:val="0"/>
    </w:rPr>
  </w:style>
  <w:style w:type="table" w:styleId="PlainTable3">
    <w:name w:val="Plain Table 3"/>
    <w:basedOn w:val="TableNormal"/>
    <w:uiPriority w:val="43"/>
    <w:rsid w:val="00A1749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6B7FF7"/>
    <w:pPr>
      <w:spacing w:after="0"/>
    </w:pPr>
    <w:tblPr>
      <w:tblStyleRowBandSize w:val="1"/>
      <w:tblStyleColBandSize w:val="1"/>
      <w:tblBorders>
        <w:top w:val="single" w:sz="4" w:space="0" w:color="5BFFFF" w:themeColor="accent3" w:themeTint="66"/>
        <w:left w:val="single" w:sz="4" w:space="0" w:color="5BFFFF" w:themeColor="accent3" w:themeTint="66"/>
        <w:bottom w:val="single" w:sz="4" w:space="0" w:color="5BFFFF" w:themeColor="accent3" w:themeTint="66"/>
        <w:right w:val="single" w:sz="4" w:space="0" w:color="5BFFFF" w:themeColor="accent3" w:themeTint="66"/>
        <w:insideH w:val="single" w:sz="4" w:space="0" w:color="5BFFFF" w:themeColor="accent3" w:themeTint="66"/>
        <w:insideV w:val="single" w:sz="4" w:space="0" w:color="5BFFFF" w:themeColor="accent3" w:themeTint="66"/>
      </w:tblBorders>
    </w:tblPr>
    <w:tblStylePr w:type="firstRow">
      <w:rPr>
        <w:b/>
        <w:bCs/>
      </w:rPr>
      <w:tblPr/>
      <w:tcPr>
        <w:tcBorders>
          <w:bottom w:val="single" w:sz="12" w:space="0" w:color="0AFFFF" w:themeColor="accent3" w:themeTint="99"/>
        </w:tcBorders>
      </w:tcPr>
    </w:tblStylePr>
    <w:tblStylePr w:type="lastRow">
      <w:rPr>
        <w:b/>
        <w:bCs/>
      </w:rPr>
      <w:tblPr/>
      <w:tcPr>
        <w:tcBorders>
          <w:top w:val="double" w:sz="2" w:space="0" w:color="0AFFFF" w:themeColor="accent3" w:themeTint="99"/>
        </w:tcBorders>
      </w:tcPr>
    </w:tblStylePr>
    <w:tblStylePr w:type="firstCol">
      <w:rPr>
        <w:b/>
        <w:bCs/>
      </w:rPr>
    </w:tblStylePr>
    <w:tblStylePr w:type="lastCol">
      <w:rPr>
        <w:b/>
        <w:bCs/>
      </w:rPr>
    </w:tblStylePr>
  </w:style>
  <w:style w:type="paragraph" w:customStyle="1" w:styleId="ContactInfo">
    <w:name w:val="Contact Info"/>
    <w:basedOn w:val="Normal"/>
    <w:uiPriority w:val="1"/>
    <w:qFormat/>
    <w:rsid w:val="00356BB9"/>
    <w:pPr>
      <w:spacing w:after="0"/>
    </w:pPr>
    <w:rPr>
      <w:b/>
      <w:color w:val="FEDE00" w:themeColor="accent2"/>
      <w:sz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646464"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s://leginfo.legislature.ca.gov/faces/codes_displaySection.xhtml?lawCode=CONS&amp;sectionNum=SEC.%203.&amp;article=I"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leginfo.legislature.ca.gov/faces/codes_displayText.xhtml?division=7.&amp;chapter=3.5.&amp;lawCode=GOV&amp;title=1.&amp;article=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leginfo.legislature.ca.gov/faces/codes_displaySection.xhtml?lawCode=GOV&amp;sectionNum=6254." TargetMode="External"/><Relationship Id="rId23"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hyperlink" Target="https://law.justia.com/cases/california/court-of-appeal/2018/a149328.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Custom 231">
      <a:dk1>
        <a:srgbClr val="000000"/>
      </a:dk1>
      <a:lt1>
        <a:srgbClr val="FFFFFF"/>
      </a:lt1>
      <a:dk2>
        <a:srgbClr val="22205F"/>
      </a:dk2>
      <a:lt2>
        <a:srgbClr val="DC9E1F"/>
      </a:lt2>
      <a:accent1>
        <a:srgbClr val="7E97AD"/>
      </a:accent1>
      <a:accent2>
        <a:srgbClr val="FEDE00"/>
      </a:accent2>
      <a:accent3>
        <a:srgbClr val="006666"/>
      </a:accent3>
      <a:accent4>
        <a:srgbClr val="00679A"/>
      </a:accent4>
      <a:accent5>
        <a:srgbClr val="CA992C"/>
      </a:accent5>
      <a:accent6>
        <a:srgbClr val="9D936F"/>
      </a:accent6>
      <a:hlink>
        <a:srgbClr val="646464"/>
      </a:hlink>
      <a:folHlink>
        <a:srgbClr val="969696"/>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BEA6D05B-AD60-405F-B8DB-FC61ABCDF8E2}">
  <ds:schemaRefs>
    <ds:schemaRef ds:uri="http://schemas.microsoft.com/sharepoint/v3/contenttype/forms"/>
  </ds:schemaRefs>
</ds:datastoreItem>
</file>

<file path=customXml/itemProps2.xml><?xml version="1.0" encoding="utf-8"?>
<ds:datastoreItem xmlns:ds="http://schemas.openxmlformats.org/officeDocument/2006/customXml" ds:itemID="{23573660-FE3A-4463-827C-CAE2430F8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50BB7C-2FBC-4612-9ECE-2EA076035D1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1177</Words>
  <Characters>6709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14</cp:revision>
  <dcterms:created xsi:type="dcterms:W3CDTF">2022-03-17T01:03:00Z</dcterms:created>
  <dcterms:modified xsi:type="dcterms:W3CDTF">2022-09-12T21:49:00Z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